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541F0" w14:textId="46DA8C2E" w:rsidR="00DE1CA0" w:rsidRDefault="00DE1CA0" w:rsidP="00DE1CA0">
      <w:pPr>
        <w:pStyle w:val="BodyText"/>
        <w:jc w:val="center"/>
        <w:rPr>
          <w:sz w:val="32"/>
          <w:szCs w:val="32"/>
        </w:rPr>
      </w:pPr>
      <w:r>
        <w:rPr>
          <w:sz w:val="32"/>
          <w:szCs w:val="32"/>
        </w:rPr>
        <w:t>20</w:t>
      </w:r>
      <w:r w:rsidR="00211439">
        <w:rPr>
          <w:sz w:val="32"/>
          <w:szCs w:val="32"/>
        </w:rPr>
        <w:t>2</w:t>
      </w:r>
      <w:r w:rsidR="00E43253">
        <w:rPr>
          <w:sz w:val="32"/>
          <w:szCs w:val="32"/>
        </w:rPr>
        <w:t>1</w:t>
      </w:r>
      <w:r>
        <w:rPr>
          <w:sz w:val="32"/>
          <w:szCs w:val="32"/>
        </w:rPr>
        <w:t xml:space="preserve"> Annual Drinking Water Quality Report</w:t>
      </w:r>
    </w:p>
    <w:p w14:paraId="55FF6170" w14:textId="77777777" w:rsidR="00DE1CA0" w:rsidRDefault="00DE1CA0" w:rsidP="00DE1CA0">
      <w:pPr>
        <w:pStyle w:val="BodyText"/>
        <w:jc w:val="center"/>
        <w:rPr>
          <w:sz w:val="24"/>
          <w:szCs w:val="24"/>
        </w:rPr>
      </w:pPr>
      <w:r>
        <w:rPr>
          <w:sz w:val="24"/>
          <w:szCs w:val="24"/>
        </w:rPr>
        <w:t>Bowling Green WTP</w:t>
      </w:r>
    </w:p>
    <w:p w14:paraId="4149E9F1" w14:textId="77777777" w:rsidR="00DE1CA0" w:rsidRDefault="00DE1CA0" w:rsidP="00DE1CA0">
      <w:pPr>
        <w:keepNext/>
        <w:keepLines/>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center"/>
        <w:rPr>
          <w:sz w:val="24"/>
          <w:szCs w:val="24"/>
        </w:rPr>
      </w:pPr>
      <w:r>
        <w:rPr>
          <w:sz w:val="24"/>
          <w:szCs w:val="24"/>
        </w:rPr>
        <w:t>System ID Number 6252022</w:t>
      </w:r>
    </w:p>
    <w:p w14:paraId="4BA09DBD" w14:textId="77777777" w:rsidR="00DE1CA0" w:rsidRDefault="00DE1CA0" w:rsidP="00DE1CA0">
      <w:pPr>
        <w:pStyle w:val="BodyText3"/>
        <w:keepLines/>
        <w:tabs>
          <w:tab w:val="clear" w:pos="630"/>
          <w:tab w:val="clear" w:pos="1350"/>
          <w:tab w:val="clear" w:pos="2070"/>
          <w:tab w:val="clear" w:pos="2790"/>
          <w:tab w:val="clear" w:pos="3510"/>
          <w:tab w:val="clear" w:pos="4230"/>
          <w:tab w:val="clear" w:pos="4950"/>
          <w:tab w:val="clear" w:pos="5670"/>
          <w:tab w:val="clear" w:pos="6390"/>
          <w:tab w:val="clear" w:pos="7110"/>
          <w:tab w:val="clear" w:pos="7830"/>
          <w:tab w:val="clear" w:pos="8550"/>
          <w:tab w:val="clear" w:pos="927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i w:val="0"/>
          <w:sz w:val="20"/>
        </w:rPr>
      </w:pPr>
    </w:p>
    <w:p w14:paraId="6BD037AB" w14:textId="77777777" w:rsidR="00072BFE" w:rsidRDefault="00DE1CA0" w:rsidP="00DE1CA0">
      <w:pPr>
        <w:pStyle w:val="BodyText3"/>
        <w:keepLines/>
        <w:tabs>
          <w:tab w:val="clear" w:pos="630"/>
          <w:tab w:val="clear" w:pos="1350"/>
          <w:tab w:val="clear" w:pos="2070"/>
          <w:tab w:val="clear" w:pos="2790"/>
          <w:tab w:val="clear" w:pos="3510"/>
          <w:tab w:val="clear" w:pos="4230"/>
          <w:tab w:val="clear" w:pos="4950"/>
          <w:tab w:val="clear" w:pos="5670"/>
          <w:tab w:val="clear" w:pos="6390"/>
          <w:tab w:val="clear" w:pos="7110"/>
          <w:tab w:val="clear" w:pos="7830"/>
          <w:tab w:val="clear" w:pos="8550"/>
          <w:tab w:val="clear" w:pos="927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i w:val="0"/>
          <w:sz w:val="20"/>
        </w:rPr>
      </w:pPr>
      <w:r>
        <w:rPr>
          <w:i w:val="0"/>
          <w:sz w:val="20"/>
        </w:rPr>
        <w:t xml:space="preserve">This report will be mailed to customers only upon request and is also available at City Hall 104 East Main Street, Bowling Green Florida 33834 </w:t>
      </w:r>
      <w:r>
        <w:rPr>
          <w:bCs/>
          <w:i w:val="0"/>
          <w:sz w:val="20"/>
        </w:rPr>
        <w:t xml:space="preserve">upon request. This report can also be viewed at the URL link located on your water bill or at the following address </w:t>
      </w:r>
      <w:hyperlink r:id="rId6" w:history="1">
        <w:r w:rsidR="00072BFE" w:rsidRPr="009D1999">
          <w:rPr>
            <w:rStyle w:val="Hyperlink"/>
            <w:bCs/>
            <w:i w:val="0"/>
            <w:sz w:val="20"/>
          </w:rPr>
          <w:t>http://bowlinggreenfl.org/bulletin-board/</w:t>
        </w:r>
      </w:hyperlink>
      <w:r w:rsidR="00072BFE">
        <w:rPr>
          <w:bCs/>
          <w:i w:val="0"/>
          <w:sz w:val="20"/>
        </w:rPr>
        <w:t>.</w:t>
      </w:r>
    </w:p>
    <w:p w14:paraId="2DF49D6C" w14:textId="77777777" w:rsidR="00DE1CA0" w:rsidRDefault="00DE1CA0" w:rsidP="00DE1CA0">
      <w:pPr>
        <w:jc w:val="both"/>
      </w:pPr>
    </w:p>
    <w:p w14:paraId="1C480D48" w14:textId="77777777" w:rsidR="00DE1CA0" w:rsidRDefault="00DE1CA0" w:rsidP="00DE1CA0">
      <w:pPr>
        <w:jc w:val="both"/>
      </w:pPr>
      <w:r>
        <w:t>We’re very pleased to provide you with this year's Annual Drinking Water Quality Report.  We want to keep you informed about the excellent water and services we have delivered to you over the past year.  Our goal is and always has been, to provide to you a safe and dependable supply of drinking water. Our water source has three 12” wells that draw water from the Floridian Aquifer.</w:t>
      </w:r>
      <w:r w:rsidR="00211439">
        <w:t xml:space="preserve"> In October 2020</w:t>
      </w:r>
      <w:r>
        <w:t xml:space="preserve"> </w:t>
      </w:r>
      <w:r w:rsidR="00211439">
        <w:t>the city put into service their new Nano filtration system with the o</w:t>
      </w:r>
      <w:r w:rsidR="00B02F62">
        <w:t xml:space="preserve">bjective of removing Sulfate and Total Dissolved Solids reduction. </w:t>
      </w:r>
      <w:r>
        <w:t>Before delivery to you, the water is scrubbed using cascading trays to improve taste and odor and disinfected with chlorine.</w:t>
      </w:r>
    </w:p>
    <w:p w14:paraId="13323CDB" w14:textId="77777777" w:rsidR="00DE1CA0" w:rsidRDefault="00DE1CA0" w:rsidP="00DE1CA0">
      <w:pPr>
        <w:jc w:val="both"/>
        <w:rPr>
          <w:szCs w:val="19"/>
        </w:rPr>
      </w:pPr>
    </w:p>
    <w:p w14:paraId="09554BCB" w14:textId="37145B5E" w:rsidR="00DE1CA0" w:rsidRDefault="00DE1CA0" w:rsidP="00DE1CA0">
      <w:pPr>
        <w:jc w:val="both"/>
      </w:pPr>
      <w:r>
        <w:t>In 20</w:t>
      </w:r>
      <w:r w:rsidR="00906BAB">
        <w:t>2</w:t>
      </w:r>
      <w:r w:rsidR="00FB7E24">
        <w:t>1</w:t>
      </w:r>
      <w:r>
        <w:rPr>
          <w:color w:val="FF00FF"/>
        </w:rPr>
        <w:t xml:space="preserve"> </w:t>
      </w:r>
      <w:r>
        <w:t xml:space="preserve">the Department of Environmental Protection performed a Source Water Assessment on our system. A search of the data sources indicated that there is only one potential source of contamination near our </w:t>
      </w:r>
      <w:proofErr w:type="gramStart"/>
      <w:r>
        <w:t>wells</w:t>
      </w:r>
      <w:proofErr w:type="gramEnd"/>
      <w:r>
        <w:t xml:space="preserve"> and it had a low susceptibility. The assessment results are available on the FDEP Source Water Assessment and Protection Program website at</w:t>
      </w:r>
      <w:r>
        <w:rPr>
          <w:color w:val="808000"/>
        </w:rPr>
        <w:t xml:space="preserve"> </w:t>
      </w:r>
      <w:hyperlink r:id="rId7" w:history="1">
        <w:r w:rsidR="00F63DBE" w:rsidRPr="009D1999">
          <w:rPr>
            <w:rStyle w:val="Hyperlink"/>
          </w:rPr>
          <w:t>www.dep.state.fl.us/swapp</w:t>
        </w:r>
      </w:hyperlink>
      <w:r w:rsidR="00F63DBE">
        <w:t>.</w:t>
      </w:r>
    </w:p>
    <w:p w14:paraId="284960FF" w14:textId="77777777" w:rsidR="00F63DBE" w:rsidRDefault="00F63DBE" w:rsidP="00DE1CA0">
      <w:pPr>
        <w:jc w:val="both"/>
      </w:pPr>
    </w:p>
    <w:p w14:paraId="221ADD99" w14:textId="77777777" w:rsidR="00DE1CA0" w:rsidRDefault="00DE1CA0" w:rsidP="00DE1CA0">
      <w:pPr>
        <w:jc w:val="both"/>
        <w:rPr>
          <w:i/>
        </w:rPr>
      </w:pPr>
    </w:p>
    <w:p w14:paraId="7BB3EA94" w14:textId="77777777" w:rsidR="00DE1CA0" w:rsidRDefault="00DE1CA0" w:rsidP="00DE1CA0">
      <w:pPr>
        <w:jc w:val="both"/>
      </w:pPr>
      <w:r>
        <w:t>If you have any questions about this report or concerning your water utility, please contact</w:t>
      </w:r>
      <w:r>
        <w:rPr>
          <w:b/>
        </w:rPr>
        <w:t xml:space="preserve"> City Hall at 863-375-2255. </w:t>
      </w:r>
      <w:r>
        <w:t>We encourage our valued customers to be informed about their water utility. If you wish to learn more, please attend any of our regularly scheduled City Council meetings. The meetings are held at Bowling Green City Hall on the second Tuesday of the month at 6:30 p.m. A copy of the CCR water report is available upon request at Bowling Green City Hall.  Any customer can obtain additional information from EPA at their Safe Drinking Water Hotline (800-426-4791).</w:t>
      </w:r>
    </w:p>
    <w:p w14:paraId="403B3237" w14:textId="77777777" w:rsidR="00DE1CA0" w:rsidRDefault="00DE1CA0" w:rsidP="00DE1CA0">
      <w:pPr>
        <w:jc w:val="both"/>
        <w:rPr>
          <w:b/>
        </w:rPr>
      </w:pPr>
    </w:p>
    <w:p w14:paraId="3A024AF6" w14:textId="1EF296D8" w:rsidR="00DE1CA0" w:rsidRDefault="00DE1CA0" w:rsidP="00DE1CA0">
      <w:pPr>
        <w:jc w:val="both"/>
      </w:pPr>
      <w:r>
        <w:rPr>
          <w:b/>
        </w:rPr>
        <w:t xml:space="preserve">Bowling Green WTP </w:t>
      </w:r>
      <w:r>
        <w:t>routinely monitors for contaminants in your drinking water according to Federal and State laws, rules, and regulations.  Except where indicated otherwise, this report is based on the results of our monitoring for the period of January 1 to December 31, 20</w:t>
      </w:r>
      <w:r w:rsidR="00B02F62">
        <w:t>2</w:t>
      </w:r>
      <w:r w:rsidR="000A5E3F">
        <w:t>1</w:t>
      </w:r>
      <w:r w:rsidR="00994003">
        <w:t>.</w:t>
      </w:r>
      <w:r>
        <w:t xml:space="preserve"> Data obtained before January 1,20</w:t>
      </w:r>
      <w:r w:rsidR="00B02F62">
        <w:t>2</w:t>
      </w:r>
      <w:r w:rsidR="000A5E3F">
        <w:t>1</w:t>
      </w:r>
      <w:r>
        <w:t xml:space="preserve"> and presented in this report are from the most recent testing done in accordance with the laws, rules, and regulations. </w:t>
      </w:r>
    </w:p>
    <w:p w14:paraId="05029730" w14:textId="77777777" w:rsidR="00DE1CA0" w:rsidRDefault="00DE1CA0" w:rsidP="00DE1CA0">
      <w:pPr>
        <w:jc w:val="both"/>
      </w:pPr>
    </w:p>
    <w:p w14:paraId="4F6EBB6B" w14:textId="77777777" w:rsidR="00DE1CA0" w:rsidRDefault="00DE1CA0" w:rsidP="00DE1CA0">
      <w:pPr>
        <w:jc w:val="both"/>
      </w:pPr>
      <w:r>
        <w:t xml:space="preserve">In the table below, you may find unfamiliar terms and abbreviations. </w:t>
      </w:r>
    </w:p>
    <w:p w14:paraId="6618CD70" w14:textId="77777777" w:rsidR="00DE1CA0" w:rsidRDefault="00DE1CA0" w:rsidP="00DE1CA0">
      <w:pPr>
        <w:jc w:val="both"/>
      </w:pPr>
      <w:r>
        <w:t>To help you better understand these terms we've provided the following definitions:</w:t>
      </w:r>
    </w:p>
    <w:p w14:paraId="608E2C29" w14:textId="77777777" w:rsidR="00DE1CA0" w:rsidRDefault="00DE1CA0" w:rsidP="00DE1CA0">
      <w:pPr>
        <w:jc w:val="both"/>
        <w:rPr>
          <w:sz w:val="10"/>
        </w:rPr>
      </w:pPr>
    </w:p>
    <w:p w14:paraId="4940FF01" w14:textId="77777777" w:rsidR="00DE1CA0" w:rsidRDefault="00DE1CA0" w:rsidP="00DE1CA0">
      <w:pPr>
        <w:jc w:val="both"/>
        <w:rPr>
          <w:sz w:val="18"/>
          <w:szCs w:val="18"/>
        </w:rPr>
      </w:pPr>
      <w:r>
        <w:rPr>
          <w:b/>
          <w:bCs/>
          <w:sz w:val="18"/>
          <w:szCs w:val="18"/>
        </w:rPr>
        <w:t>Maximum Contaminant Level or MCL:</w:t>
      </w:r>
      <w:r>
        <w:rPr>
          <w:sz w:val="18"/>
          <w:szCs w:val="18"/>
        </w:rPr>
        <w:t xml:space="preserve"> The highest level of a contaminant that is allowed in drinking water.  MCLs are set as close to the MCLGs as feasible using the best available treatment technology.</w:t>
      </w:r>
    </w:p>
    <w:p w14:paraId="5D83A898" w14:textId="77777777" w:rsidR="00DE1CA0" w:rsidRDefault="00DE1CA0" w:rsidP="00DE1CA0">
      <w:pPr>
        <w:jc w:val="both"/>
        <w:rPr>
          <w:sz w:val="18"/>
          <w:szCs w:val="18"/>
        </w:rPr>
      </w:pPr>
    </w:p>
    <w:p w14:paraId="1EE7CA41" w14:textId="77777777" w:rsidR="00DE1CA0" w:rsidRDefault="00DE1CA0" w:rsidP="00DE1CA0">
      <w:pPr>
        <w:jc w:val="both"/>
        <w:rPr>
          <w:sz w:val="18"/>
          <w:szCs w:val="18"/>
        </w:rPr>
      </w:pPr>
      <w:r>
        <w:rPr>
          <w:b/>
          <w:bCs/>
          <w:sz w:val="18"/>
          <w:szCs w:val="18"/>
        </w:rPr>
        <w:t>Maximum Contaminant Level Goal or MCLG:</w:t>
      </w:r>
      <w:r>
        <w:rPr>
          <w:sz w:val="18"/>
          <w:szCs w:val="18"/>
        </w:rPr>
        <w:t xml:space="preserve"> The level of a contaminant in drinking water, below which there is no known or expected risk to health.  MCLGs allow for a margin of safety.</w:t>
      </w:r>
    </w:p>
    <w:p w14:paraId="3D46DCD5" w14:textId="77777777" w:rsidR="00DE1CA0" w:rsidRDefault="00DE1CA0" w:rsidP="00DE1CA0">
      <w:pPr>
        <w:jc w:val="both"/>
        <w:rPr>
          <w:sz w:val="18"/>
          <w:szCs w:val="18"/>
        </w:rPr>
      </w:pPr>
    </w:p>
    <w:p w14:paraId="62929A37" w14:textId="77777777" w:rsidR="00DE1CA0" w:rsidRDefault="00DE1CA0" w:rsidP="00DE1CA0">
      <w:pPr>
        <w:jc w:val="both"/>
        <w:rPr>
          <w:sz w:val="18"/>
          <w:szCs w:val="18"/>
        </w:rPr>
      </w:pPr>
      <w:r>
        <w:rPr>
          <w:b/>
          <w:bCs/>
          <w:sz w:val="18"/>
          <w:szCs w:val="18"/>
        </w:rPr>
        <w:t>Action Level (AL):</w:t>
      </w:r>
      <w:r>
        <w:rPr>
          <w:sz w:val="18"/>
          <w:szCs w:val="18"/>
        </w:rPr>
        <w:t xml:space="preserve">  The concentration of a contaminant, which, if exceeded, triggers treatment or other requirements that a water system must follow.</w:t>
      </w:r>
    </w:p>
    <w:p w14:paraId="2D330AB8" w14:textId="77777777" w:rsidR="00DE1CA0" w:rsidRDefault="00DE1CA0" w:rsidP="00DE1CA0">
      <w:pPr>
        <w:jc w:val="both"/>
        <w:rPr>
          <w:sz w:val="18"/>
          <w:szCs w:val="18"/>
        </w:rPr>
      </w:pPr>
    </w:p>
    <w:p w14:paraId="1A2F0D69" w14:textId="77777777" w:rsidR="00DE1CA0" w:rsidRDefault="00DE1CA0" w:rsidP="00DE1CA0">
      <w:pPr>
        <w:jc w:val="both"/>
        <w:rPr>
          <w:sz w:val="18"/>
          <w:szCs w:val="18"/>
        </w:rPr>
      </w:pPr>
      <w:r>
        <w:rPr>
          <w:b/>
          <w:bCs/>
          <w:sz w:val="18"/>
          <w:szCs w:val="18"/>
        </w:rPr>
        <w:t>Initial Distribution System Evaluation (IDSE):</w:t>
      </w:r>
      <w:r>
        <w:rPr>
          <w:sz w:val="18"/>
          <w:szCs w:val="18"/>
        </w:rPr>
        <w:t xml:space="preserve">  An important part of the Stage 2 Disinfection By</w:t>
      </w:r>
      <w:r w:rsidR="00CE085A">
        <w:rPr>
          <w:sz w:val="18"/>
          <w:szCs w:val="18"/>
        </w:rPr>
        <w:t>-P</w:t>
      </w:r>
      <w:r>
        <w:rPr>
          <w:sz w:val="18"/>
          <w:szCs w:val="18"/>
        </w:rPr>
        <w:t xml:space="preserve">roducts Rule (DBPR).  The IDSE is a one-time study conducted by water systems to identify distribution system locations with high concentrations of Trihalomethane (THMs) and </w:t>
      </w:r>
      <w:proofErr w:type="spellStart"/>
      <w:r>
        <w:rPr>
          <w:sz w:val="18"/>
          <w:szCs w:val="18"/>
        </w:rPr>
        <w:t>haloacetic</w:t>
      </w:r>
      <w:proofErr w:type="spellEnd"/>
      <w:r>
        <w:rPr>
          <w:sz w:val="18"/>
          <w:szCs w:val="18"/>
        </w:rPr>
        <w:t xml:space="preserve"> acids (HAAs). Water systems will use results from the IDSE, in conjunction with their Stage 1 DBPR compliance monitoring data, to select compliance monitoring locations for the Stage 2 DBPR.</w:t>
      </w:r>
    </w:p>
    <w:p w14:paraId="1A224372" w14:textId="77777777" w:rsidR="00DE1CA0" w:rsidRDefault="00DE1CA0" w:rsidP="00DE1CA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uppressAutoHyphens w:val="0"/>
        <w:rPr>
          <w:b/>
          <w:sz w:val="18"/>
          <w:szCs w:val="18"/>
          <w:lang w:eastAsia="en-US"/>
        </w:rPr>
      </w:pPr>
    </w:p>
    <w:p w14:paraId="2F823F23" w14:textId="77777777" w:rsidR="00DE1CA0" w:rsidRDefault="00DE1CA0" w:rsidP="00DE1CA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uppressAutoHyphens w:val="0"/>
        <w:rPr>
          <w:sz w:val="18"/>
          <w:szCs w:val="18"/>
          <w:lang w:eastAsia="en-US"/>
        </w:rPr>
      </w:pPr>
      <w:r>
        <w:rPr>
          <w:b/>
          <w:sz w:val="18"/>
          <w:szCs w:val="18"/>
          <w:lang w:eastAsia="en-US"/>
        </w:rPr>
        <w:t>Locational Running Annual Average (LRAA):</w:t>
      </w:r>
      <w:r>
        <w:rPr>
          <w:sz w:val="18"/>
          <w:szCs w:val="18"/>
          <w:lang w:eastAsia="en-US"/>
        </w:rPr>
        <w:t xml:space="preserve">  the average of sample analytical results for samples taken at a particular monitoring location during the previous four calendar quarters.</w:t>
      </w:r>
    </w:p>
    <w:p w14:paraId="32BCE992" w14:textId="77777777" w:rsidR="00DE1CA0" w:rsidRDefault="00DE1CA0" w:rsidP="00DE1CA0">
      <w:pPr>
        <w:jc w:val="both"/>
        <w:rPr>
          <w:i/>
          <w:sz w:val="18"/>
          <w:szCs w:val="18"/>
        </w:rPr>
      </w:pPr>
    </w:p>
    <w:p w14:paraId="1459674D" w14:textId="77777777" w:rsidR="00DE1CA0" w:rsidRDefault="00DE1CA0" w:rsidP="00DE1CA0">
      <w:pPr>
        <w:jc w:val="both"/>
        <w:rPr>
          <w:sz w:val="18"/>
          <w:szCs w:val="18"/>
        </w:rPr>
      </w:pPr>
      <w:r>
        <w:rPr>
          <w:b/>
          <w:bCs/>
          <w:sz w:val="18"/>
          <w:szCs w:val="18"/>
        </w:rPr>
        <w:t>Maximum residual disinfectant level or MRDL:</w:t>
      </w:r>
      <w:r>
        <w:rPr>
          <w:sz w:val="18"/>
          <w:szCs w:val="18"/>
        </w:rPr>
        <w:t xml:space="preserve">  The highest level of a disinfectant allowed in drinking water.  There is convincing evidence that addition of a disinfectant is necessary for control of microbial contaminants.</w:t>
      </w:r>
    </w:p>
    <w:p w14:paraId="44DC9F9B" w14:textId="77777777" w:rsidR="00DE1CA0" w:rsidRDefault="00DE1CA0" w:rsidP="00DE1CA0">
      <w:pPr>
        <w:jc w:val="both"/>
        <w:rPr>
          <w:b/>
          <w:bCs/>
          <w:sz w:val="18"/>
          <w:szCs w:val="18"/>
        </w:rPr>
      </w:pPr>
    </w:p>
    <w:p w14:paraId="5EE3E4B5" w14:textId="77777777" w:rsidR="00DE1CA0" w:rsidRDefault="00DE1CA0" w:rsidP="00DE1CA0">
      <w:pPr>
        <w:jc w:val="both"/>
        <w:rPr>
          <w:sz w:val="18"/>
          <w:szCs w:val="18"/>
        </w:rPr>
      </w:pPr>
      <w:r>
        <w:rPr>
          <w:b/>
          <w:bCs/>
          <w:sz w:val="18"/>
          <w:szCs w:val="18"/>
        </w:rPr>
        <w:t>Maximum residual disinfectant level goal or MRDLG:</w:t>
      </w:r>
      <w:r>
        <w:rPr>
          <w:sz w:val="18"/>
          <w:szCs w:val="18"/>
        </w:rPr>
        <w:t xml:space="preserve">  The level of a drinking water disinfectant, below which there is no known or expected risk to health.  MRDLGs do not reflect the benefits of the use of disinfectants to control microbial contaminants.</w:t>
      </w:r>
    </w:p>
    <w:p w14:paraId="67C9E711" w14:textId="77777777" w:rsidR="00DE1CA0" w:rsidRDefault="00DE1CA0" w:rsidP="00DE1CA0">
      <w:pPr>
        <w:jc w:val="both"/>
        <w:rPr>
          <w:b/>
          <w:bCs/>
          <w:sz w:val="18"/>
          <w:szCs w:val="18"/>
        </w:rPr>
      </w:pPr>
    </w:p>
    <w:p w14:paraId="47B265EB" w14:textId="77777777" w:rsidR="00DE1CA0" w:rsidRDefault="00DE1CA0" w:rsidP="00DE1CA0">
      <w:pPr>
        <w:jc w:val="both"/>
        <w:rPr>
          <w:sz w:val="18"/>
          <w:szCs w:val="18"/>
        </w:rPr>
      </w:pPr>
      <w:r>
        <w:rPr>
          <w:b/>
          <w:bCs/>
          <w:sz w:val="18"/>
          <w:szCs w:val="18"/>
        </w:rPr>
        <w:t>Parts per billion (ppb) or Micrograms per liter (µg/l):</w:t>
      </w:r>
      <w:r>
        <w:rPr>
          <w:sz w:val="18"/>
          <w:szCs w:val="18"/>
        </w:rPr>
        <w:t xml:space="preserve"> one part by weight of analyte to 1 billion parts by weight of the water sample.</w:t>
      </w:r>
    </w:p>
    <w:p w14:paraId="21FCD40C" w14:textId="77777777" w:rsidR="00DE1CA0" w:rsidRDefault="00DE1CA0" w:rsidP="00DE1CA0">
      <w:pPr>
        <w:jc w:val="both"/>
        <w:rPr>
          <w:b/>
          <w:bCs/>
          <w:sz w:val="18"/>
          <w:szCs w:val="18"/>
        </w:rPr>
      </w:pPr>
    </w:p>
    <w:p w14:paraId="7B5F8482" w14:textId="77777777" w:rsidR="00DE1CA0" w:rsidRDefault="00DE1CA0" w:rsidP="00DE1CA0">
      <w:pPr>
        <w:jc w:val="both"/>
        <w:rPr>
          <w:sz w:val="18"/>
          <w:szCs w:val="18"/>
        </w:rPr>
      </w:pPr>
      <w:r>
        <w:rPr>
          <w:b/>
          <w:bCs/>
          <w:sz w:val="18"/>
          <w:szCs w:val="18"/>
        </w:rPr>
        <w:t>Parts per million (ppm) or Milligrams per liter (mg/l):</w:t>
      </w:r>
      <w:r>
        <w:rPr>
          <w:sz w:val="18"/>
          <w:szCs w:val="18"/>
        </w:rPr>
        <w:t xml:space="preserve">  one part by weight of analyte to 1 million parts by weight of the water sample.</w:t>
      </w:r>
    </w:p>
    <w:p w14:paraId="1A6B5941" w14:textId="77777777" w:rsidR="00DE1CA0" w:rsidRDefault="00DE1CA0" w:rsidP="00DE1CA0">
      <w:pPr>
        <w:jc w:val="both"/>
        <w:rPr>
          <w:sz w:val="18"/>
          <w:szCs w:val="18"/>
        </w:rPr>
      </w:pPr>
    </w:p>
    <w:p w14:paraId="234BC6FE" w14:textId="77777777" w:rsidR="00DE1CA0" w:rsidRDefault="00DE1CA0" w:rsidP="00DE1CA0">
      <w:pPr>
        <w:jc w:val="both"/>
        <w:rPr>
          <w:sz w:val="18"/>
          <w:szCs w:val="18"/>
        </w:rPr>
      </w:pPr>
      <w:r>
        <w:rPr>
          <w:b/>
          <w:bCs/>
          <w:sz w:val="18"/>
          <w:szCs w:val="18"/>
        </w:rPr>
        <w:t>Picocurie per liter (</w:t>
      </w:r>
      <w:proofErr w:type="spellStart"/>
      <w:r>
        <w:rPr>
          <w:b/>
          <w:bCs/>
          <w:sz w:val="18"/>
          <w:szCs w:val="18"/>
        </w:rPr>
        <w:t>pCi</w:t>
      </w:r>
      <w:proofErr w:type="spellEnd"/>
      <w:r>
        <w:rPr>
          <w:b/>
          <w:bCs/>
          <w:sz w:val="18"/>
          <w:szCs w:val="18"/>
        </w:rPr>
        <w:t>/L):</w:t>
      </w:r>
      <w:r>
        <w:rPr>
          <w:sz w:val="18"/>
          <w:szCs w:val="18"/>
        </w:rPr>
        <w:t xml:space="preserve">  measure of the radioactivity in water.</w:t>
      </w:r>
    </w:p>
    <w:p w14:paraId="37DE524B" w14:textId="77777777" w:rsidR="00DE1CA0" w:rsidRDefault="00DE1CA0" w:rsidP="00DE1CA0">
      <w:pPr>
        <w:suppressAutoHyphens w:val="0"/>
      </w:pPr>
    </w:p>
    <w:p w14:paraId="2D1DB07A" w14:textId="565A660B" w:rsidR="00570238" w:rsidRDefault="00570238" w:rsidP="00DE1CA0">
      <w:pPr>
        <w:suppressAutoHyphens w:val="0"/>
        <w:sectPr w:rsidR="00570238">
          <w:pgSz w:w="12240" w:h="15840"/>
          <w:pgMar w:top="810" w:right="1080" w:bottom="810" w:left="1080" w:header="720" w:footer="720" w:gutter="0"/>
          <w:pgNumType w:start="1"/>
          <w:cols w:space="720"/>
        </w:sectPr>
      </w:pPr>
    </w:p>
    <w:tbl>
      <w:tblPr>
        <w:tblW w:w="10705" w:type="dxa"/>
        <w:tblInd w:w="-185" w:type="dxa"/>
        <w:tblLayout w:type="fixed"/>
        <w:tblCellMar>
          <w:left w:w="0" w:type="dxa"/>
          <w:right w:w="0" w:type="dxa"/>
        </w:tblCellMar>
        <w:tblLook w:val="0600" w:firstRow="0" w:lastRow="0" w:firstColumn="0" w:lastColumn="0" w:noHBand="1" w:noVBand="1"/>
      </w:tblPr>
      <w:tblGrid>
        <w:gridCol w:w="1452"/>
        <w:gridCol w:w="949"/>
        <w:gridCol w:w="847"/>
        <w:gridCol w:w="1127"/>
        <w:gridCol w:w="684"/>
        <w:gridCol w:w="2874"/>
        <w:gridCol w:w="523"/>
        <w:gridCol w:w="1989"/>
        <w:gridCol w:w="260"/>
      </w:tblGrid>
      <w:tr w:rsidR="00DE1CA0" w14:paraId="39F2D47C" w14:textId="77777777" w:rsidTr="00AD7DB6">
        <w:trPr>
          <w:cantSplit/>
          <w:trHeight w:val="332"/>
          <w:tblHeader/>
        </w:trPr>
        <w:tc>
          <w:tcPr>
            <w:tcW w:w="10705" w:type="dxa"/>
            <w:gridSpan w:val="9"/>
            <w:tcBorders>
              <w:right w:val="nil"/>
            </w:tcBorders>
            <w:tcMar>
              <w:top w:w="0" w:type="dxa"/>
              <w:left w:w="100" w:type="dxa"/>
              <w:bottom w:w="0" w:type="dxa"/>
              <w:right w:w="100" w:type="dxa"/>
            </w:tcMar>
            <w:vAlign w:val="center"/>
            <w:hideMark/>
          </w:tcPr>
          <w:p w14:paraId="6708069E" w14:textId="77777777" w:rsidR="00DE1CA0" w:rsidRDefault="00DE1CA0" w:rsidP="005D1ABF">
            <w:pPr>
              <w:pStyle w:val="Heading1"/>
              <w:tabs>
                <w:tab w:val="clear" w:pos="432"/>
              </w:tabs>
              <w:snapToGrid w:val="0"/>
              <w:spacing w:before="0" w:after="0"/>
              <w:rPr>
                <w:rFonts w:ascii="Times New Roman" w:hAnsi="Times New Roman"/>
              </w:rPr>
            </w:pPr>
            <w:bookmarkStart w:id="0" w:name="OLE_LINK4"/>
            <w:bookmarkStart w:id="1" w:name="OLE_LINK3"/>
            <w:bookmarkEnd w:id="0"/>
            <w:bookmarkEnd w:id="1"/>
            <w:r>
              <w:rPr>
                <w:rFonts w:ascii="Times New Roman" w:hAnsi="Times New Roman"/>
              </w:rPr>
              <w:lastRenderedPageBreak/>
              <w:t>Radioactive Contaminants</w:t>
            </w:r>
          </w:p>
        </w:tc>
      </w:tr>
      <w:tr w:rsidR="005D1ABF" w14:paraId="4AA41DB5" w14:textId="77777777" w:rsidTr="00AD7DB6">
        <w:trPr>
          <w:gridAfter w:val="1"/>
          <w:wAfter w:w="260" w:type="dxa"/>
          <w:cantSplit/>
          <w:trHeight w:val="458"/>
        </w:trPr>
        <w:tc>
          <w:tcPr>
            <w:tcW w:w="1452" w:type="dxa"/>
            <w:tcBorders>
              <w:top w:val="single" w:sz="4" w:space="0" w:color="000000"/>
              <w:left w:val="single" w:sz="4" w:space="0" w:color="000000"/>
              <w:bottom w:val="single" w:sz="4" w:space="0" w:color="000000"/>
              <w:right w:val="nil"/>
            </w:tcBorders>
            <w:vAlign w:val="center"/>
          </w:tcPr>
          <w:p w14:paraId="33CE60E7" w14:textId="77777777" w:rsidR="005D1ABF" w:rsidRDefault="005D1ABF" w:rsidP="005D1ABF">
            <w:pPr>
              <w:snapToGrid w:val="0"/>
              <w:rPr>
                <w:b/>
                <w:sz w:val="18"/>
              </w:rPr>
            </w:pPr>
            <w:r>
              <w:rPr>
                <w:b/>
                <w:sz w:val="18"/>
              </w:rPr>
              <w:t>Contaminant and Unit of Measurement</w:t>
            </w:r>
          </w:p>
        </w:tc>
        <w:tc>
          <w:tcPr>
            <w:tcW w:w="949" w:type="dxa"/>
            <w:tcBorders>
              <w:top w:val="single" w:sz="4" w:space="0" w:color="000000"/>
              <w:left w:val="single" w:sz="4" w:space="0" w:color="000000"/>
              <w:bottom w:val="single" w:sz="4" w:space="0" w:color="000000"/>
              <w:right w:val="nil"/>
            </w:tcBorders>
            <w:vAlign w:val="center"/>
          </w:tcPr>
          <w:p w14:paraId="0F685F2E" w14:textId="77777777" w:rsidR="005D1ABF" w:rsidRDefault="005D1ABF" w:rsidP="005D1ABF">
            <w:pPr>
              <w:snapToGrid w:val="0"/>
              <w:jc w:val="center"/>
              <w:rPr>
                <w:b/>
                <w:sz w:val="18"/>
              </w:rPr>
            </w:pPr>
            <w:r>
              <w:rPr>
                <w:b/>
                <w:sz w:val="18"/>
              </w:rPr>
              <w:t>Dates of sampling (mo./yr.)</w:t>
            </w:r>
          </w:p>
        </w:tc>
        <w:tc>
          <w:tcPr>
            <w:tcW w:w="847" w:type="dxa"/>
            <w:tcBorders>
              <w:top w:val="single" w:sz="4" w:space="0" w:color="000000"/>
              <w:left w:val="single" w:sz="4" w:space="0" w:color="000000"/>
              <w:bottom w:val="single" w:sz="4" w:space="0" w:color="000000"/>
              <w:right w:val="nil"/>
            </w:tcBorders>
            <w:vAlign w:val="center"/>
          </w:tcPr>
          <w:p w14:paraId="32181259" w14:textId="77777777" w:rsidR="005D1ABF" w:rsidRDefault="005D1ABF" w:rsidP="005D1ABF">
            <w:pPr>
              <w:snapToGrid w:val="0"/>
              <w:jc w:val="center"/>
              <w:rPr>
                <w:b/>
                <w:sz w:val="18"/>
              </w:rPr>
            </w:pPr>
            <w:r>
              <w:rPr>
                <w:b/>
                <w:sz w:val="18"/>
              </w:rPr>
              <w:t>MCL Violation Y/N</w:t>
            </w:r>
          </w:p>
        </w:tc>
        <w:tc>
          <w:tcPr>
            <w:tcW w:w="1127" w:type="dxa"/>
            <w:tcBorders>
              <w:top w:val="single" w:sz="4" w:space="0" w:color="000000"/>
              <w:left w:val="single" w:sz="4" w:space="0" w:color="000000"/>
              <w:bottom w:val="single" w:sz="4" w:space="0" w:color="000000"/>
              <w:right w:val="nil"/>
            </w:tcBorders>
            <w:vAlign w:val="center"/>
          </w:tcPr>
          <w:p w14:paraId="6084A15E" w14:textId="77777777" w:rsidR="005D1ABF" w:rsidRDefault="005D1ABF" w:rsidP="005D1ABF">
            <w:pPr>
              <w:snapToGrid w:val="0"/>
              <w:jc w:val="center"/>
              <w:rPr>
                <w:b/>
                <w:sz w:val="18"/>
              </w:rPr>
            </w:pPr>
            <w:r>
              <w:rPr>
                <w:b/>
                <w:sz w:val="18"/>
              </w:rPr>
              <w:t>Level Detected</w:t>
            </w:r>
          </w:p>
        </w:tc>
        <w:tc>
          <w:tcPr>
            <w:tcW w:w="684" w:type="dxa"/>
            <w:tcBorders>
              <w:top w:val="single" w:sz="4" w:space="0" w:color="000000"/>
              <w:left w:val="single" w:sz="4" w:space="0" w:color="000000"/>
              <w:bottom w:val="single" w:sz="4" w:space="0" w:color="000000"/>
              <w:right w:val="nil"/>
            </w:tcBorders>
            <w:vAlign w:val="center"/>
          </w:tcPr>
          <w:p w14:paraId="5B2F8676" w14:textId="77777777" w:rsidR="005D1ABF" w:rsidRDefault="005D1ABF" w:rsidP="005D1ABF">
            <w:pPr>
              <w:snapToGrid w:val="0"/>
              <w:jc w:val="center"/>
              <w:rPr>
                <w:b/>
                <w:sz w:val="18"/>
              </w:rPr>
            </w:pPr>
            <w:r>
              <w:rPr>
                <w:b/>
                <w:sz w:val="18"/>
              </w:rPr>
              <w:t>Range of Results</w:t>
            </w:r>
          </w:p>
        </w:tc>
        <w:tc>
          <w:tcPr>
            <w:tcW w:w="2874" w:type="dxa"/>
            <w:tcBorders>
              <w:top w:val="single" w:sz="4" w:space="0" w:color="000000"/>
              <w:left w:val="single" w:sz="4" w:space="0" w:color="000000"/>
              <w:bottom w:val="single" w:sz="4" w:space="0" w:color="000000"/>
              <w:right w:val="nil"/>
            </w:tcBorders>
            <w:vAlign w:val="center"/>
          </w:tcPr>
          <w:p w14:paraId="49464B9C" w14:textId="77777777" w:rsidR="005D1ABF" w:rsidRDefault="005D1ABF" w:rsidP="005D1ABF">
            <w:pPr>
              <w:snapToGrid w:val="0"/>
              <w:jc w:val="center"/>
              <w:rPr>
                <w:b/>
                <w:sz w:val="16"/>
              </w:rPr>
            </w:pPr>
            <w:r>
              <w:rPr>
                <w:b/>
                <w:sz w:val="16"/>
              </w:rPr>
              <w:t>MCLG</w:t>
            </w:r>
          </w:p>
        </w:tc>
        <w:tc>
          <w:tcPr>
            <w:tcW w:w="523" w:type="dxa"/>
            <w:tcBorders>
              <w:top w:val="single" w:sz="4" w:space="0" w:color="000000"/>
              <w:left w:val="single" w:sz="4" w:space="0" w:color="000000"/>
              <w:bottom w:val="single" w:sz="4" w:space="0" w:color="000000"/>
              <w:right w:val="nil"/>
            </w:tcBorders>
            <w:vAlign w:val="center"/>
          </w:tcPr>
          <w:p w14:paraId="28CF8B58" w14:textId="77777777" w:rsidR="005D1ABF" w:rsidRDefault="005D1ABF" w:rsidP="005D1ABF">
            <w:pPr>
              <w:snapToGrid w:val="0"/>
              <w:jc w:val="center"/>
              <w:rPr>
                <w:b/>
                <w:sz w:val="18"/>
              </w:rPr>
            </w:pPr>
            <w:r>
              <w:rPr>
                <w:b/>
                <w:sz w:val="18"/>
              </w:rPr>
              <w:t>MCL</w:t>
            </w:r>
          </w:p>
        </w:tc>
        <w:tc>
          <w:tcPr>
            <w:tcW w:w="1989" w:type="dxa"/>
            <w:tcBorders>
              <w:top w:val="single" w:sz="4" w:space="0" w:color="000000"/>
              <w:left w:val="single" w:sz="4" w:space="0" w:color="000000"/>
              <w:bottom w:val="single" w:sz="4" w:space="0" w:color="000000"/>
              <w:right w:val="single" w:sz="4" w:space="0" w:color="000000"/>
            </w:tcBorders>
            <w:vAlign w:val="center"/>
          </w:tcPr>
          <w:p w14:paraId="3D21897C" w14:textId="77777777" w:rsidR="005D1ABF" w:rsidRDefault="005D1ABF" w:rsidP="005D1ABF">
            <w:pPr>
              <w:snapToGrid w:val="0"/>
              <w:jc w:val="center"/>
              <w:rPr>
                <w:b/>
                <w:sz w:val="18"/>
              </w:rPr>
            </w:pPr>
            <w:r>
              <w:rPr>
                <w:b/>
                <w:sz w:val="18"/>
              </w:rPr>
              <w:t>Likely Source of Contamination</w:t>
            </w:r>
          </w:p>
        </w:tc>
      </w:tr>
      <w:tr w:rsidR="005D1ABF" w14:paraId="58F705CB" w14:textId="77777777" w:rsidTr="00AD7DB6">
        <w:trPr>
          <w:gridAfter w:val="1"/>
          <w:wAfter w:w="260" w:type="dxa"/>
          <w:cantSplit/>
          <w:trHeight w:val="458"/>
        </w:trPr>
        <w:tc>
          <w:tcPr>
            <w:tcW w:w="1452" w:type="dxa"/>
            <w:tcBorders>
              <w:top w:val="single" w:sz="4" w:space="0" w:color="000000"/>
              <w:left w:val="single" w:sz="4" w:space="0" w:color="000000"/>
              <w:bottom w:val="single" w:sz="4" w:space="0" w:color="000000"/>
              <w:right w:val="nil"/>
            </w:tcBorders>
            <w:vAlign w:val="center"/>
          </w:tcPr>
          <w:p w14:paraId="1514836C" w14:textId="77777777" w:rsidR="005D1ABF" w:rsidRDefault="005D1ABF" w:rsidP="005D1ABF">
            <w:pPr>
              <w:snapToGrid w:val="0"/>
              <w:rPr>
                <w:sz w:val="18"/>
              </w:rPr>
            </w:pPr>
            <w:r>
              <w:rPr>
                <w:sz w:val="18"/>
              </w:rPr>
              <w:t xml:space="preserve"> Alpha emitters (</w:t>
            </w:r>
            <w:proofErr w:type="spellStart"/>
            <w:r>
              <w:rPr>
                <w:sz w:val="18"/>
              </w:rPr>
              <w:t>pCi</w:t>
            </w:r>
            <w:proofErr w:type="spellEnd"/>
            <w:r>
              <w:rPr>
                <w:sz w:val="18"/>
              </w:rPr>
              <w:t>/L)</w:t>
            </w:r>
          </w:p>
        </w:tc>
        <w:tc>
          <w:tcPr>
            <w:tcW w:w="949" w:type="dxa"/>
            <w:tcBorders>
              <w:top w:val="single" w:sz="4" w:space="0" w:color="000000"/>
              <w:left w:val="single" w:sz="4" w:space="0" w:color="000000"/>
              <w:bottom w:val="single" w:sz="4" w:space="0" w:color="000000"/>
              <w:right w:val="nil"/>
            </w:tcBorders>
            <w:vAlign w:val="center"/>
          </w:tcPr>
          <w:p w14:paraId="4F027178" w14:textId="77777777" w:rsidR="005D1ABF" w:rsidRDefault="005D1ABF" w:rsidP="005D1ABF">
            <w:pPr>
              <w:snapToGrid w:val="0"/>
              <w:jc w:val="center"/>
              <w:rPr>
                <w:sz w:val="18"/>
              </w:rPr>
            </w:pPr>
            <w:r>
              <w:rPr>
                <w:sz w:val="18"/>
              </w:rPr>
              <w:t>2/18</w:t>
            </w:r>
          </w:p>
        </w:tc>
        <w:tc>
          <w:tcPr>
            <w:tcW w:w="847" w:type="dxa"/>
            <w:tcBorders>
              <w:top w:val="single" w:sz="4" w:space="0" w:color="000000"/>
              <w:left w:val="single" w:sz="4" w:space="0" w:color="000000"/>
              <w:bottom w:val="single" w:sz="4" w:space="0" w:color="000000"/>
              <w:right w:val="nil"/>
            </w:tcBorders>
            <w:vAlign w:val="center"/>
          </w:tcPr>
          <w:p w14:paraId="2BC7DB04" w14:textId="77777777" w:rsidR="005D1ABF" w:rsidRDefault="005D1ABF" w:rsidP="005D1ABF">
            <w:pPr>
              <w:snapToGrid w:val="0"/>
              <w:jc w:val="center"/>
              <w:rPr>
                <w:sz w:val="18"/>
              </w:rPr>
            </w:pPr>
            <w:r>
              <w:rPr>
                <w:sz w:val="18"/>
              </w:rPr>
              <w:t>N</w:t>
            </w:r>
          </w:p>
        </w:tc>
        <w:tc>
          <w:tcPr>
            <w:tcW w:w="1127" w:type="dxa"/>
            <w:tcBorders>
              <w:top w:val="single" w:sz="4" w:space="0" w:color="000000"/>
              <w:left w:val="single" w:sz="4" w:space="0" w:color="000000"/>
              <w:bottom w:val="single" w:sz="4" w:space="0" w:color="000000"/>
              <w:right w:val="nil"/>
            </w:tcBorders>
            <w:vAlign w:val="center"/>
          </w:tcPr>
          <w:p w14:paraId="2D29FACD" w14:textId="77777777" w:rsidR="005D1ABF" w:rsidRDefault="005D1ABF" w:rsidP="005D1ABF">
            <w:pPr>
              <w:snapToGrid w:val="0"/>
              <w:jc w:val="center"/>
              <w:rPr>
                <w:sz w:val="18"/>
              </w:rPr>
            </w:pPr>
            <w:r>
              <w:rPr>
                <w:sz w:val="18"/>
              </w:rPr>
              <w:t>7.03</w:t>
            </w:r>
          </w:p>
        </w:tc>
        <w:tc>
          <w:tcPr>
            <w:tcW w:w="684" w:type="dxa"/>
            <w:tcBorders>
              <w:top w:val="single" w:sz="4" w:space="0" w:color="000000"/>
              <w:left w:val="single" w:sz="4" w:space="0" w:color="000000"/>
              <w:bottom w:val="single" w:sz="4" w:space="0" w:color="000000"/>
              <w:right w:val="nil"/>
            </w:tcBorders>
            <w:vAlign w:val="center"/>
          </w:tcPr>
          <w:p w14:paraId="3E8755DA" w14:textId="77777777" w:rsidR="005D1ABF" w:rsidRDefault="005D1ABF" w:rsidP="005D1ABF">
            <w:pPr>
              <w:snapToGrid w:val="0"/>
              <w:jc w:val="center"/>
              <w:rPr>
                <w:sz w:val="18"/>
              </w:rPr>
            </w:pPr>
            <w:r>
              <w:rPr>
                <w:sz w:val="18"/>
              </w:rPr>
              <w:t>N/A</w:t>
            </w:r>
          </w:p>
        </w:tc>
        <w:tc>
          <w:tcPr>
            <w:tcW w:w="2874" w:type="dxa"/>
            <w:tcBorders>
              <w:top w:val="single" w:sz="4" w:space="0" w:color="000000"/>
              <w:left w:val="single" w:sz="4" w:space="0" w:color="000000"/>
              <w:bottom w:val="single" w:sz="4" w:space="0" w:color="000000"/>
              <w:right w:val="nil"/>
            </w:tcBorders>
            <w:vAlign w:val="center"/>
          </w:tcPr>
          <w:p w14:paraId="68F55BB1" w14:textId="77777777" w:rsidR="005D1ABF" w:rsidRDefault="005D1ABF" w:rsidP="005D1ABF">
            <w:pPr>
              <w:snapToGrid w:val="0"/>
              <w:jc w:val="center"/>
              <w:rPr>
                <w:sz w:val="18"/>
              </w:rPr>
            </w:pPr>
            <w:r>
              <w:rPr>
                <w:sz w:val="18"/>
              </w:rPr>
              <w:t>0</w:t>
            </w:r>
          </w:p>
        </w:tc>
        <w:tc>
          <w:tcPr>
            <w:tcW w:w="523" w:type="dxa"/>
            <w:tcBorders>
              <w:top w:val="single" w:sz="4" w:space="0" w:color="000000"/>
              <w:left w:val="single" w:sz="4" w:space="0" w:color="000000"/>
              <w:bottom w:val="single" w:sz="4" w:space="0" w:color="000000"/>
              <w:right w:val="nil"/>
            </w:tcBorders>
            <w:vAlign w:val="center"/>
          </w:tcPr>
          <w:p w14:paraId="27CB8ACA" w14:textId="77777777" w:rsidR="005D1ABF" w:rsidRDefault="005D1ABF" w:rsidP="005D1ABF">
            <w:pPr>
              <w:snapToGrid w:val="0"/>
              <w:jc w:val="center"/>
              <w:rPr>
                <w:sz w:val="18"/>
              </w:rPr>
            </w:pPr>
            <w:r>
              <w:rPr>
                <w:sz w:val="18"/>
              </w:rPr>
              <w:t>15</w:t>
            </w:r>
          </w:p>
        </w:tc>
        <w:tc>
          <w:tcPr>
            <w:tcW w:w="1989" w:type="dxa"/>
            <w:tcBorders>
              <w:top w:val="single" w:sz="4" w:space="0" w:color="000000"/>
              <w:left w:val="single" w:sz="4" w:space="0" w:color="000000"/>
              <w:bottom w:val="single" w:sz="4" w:space="0" w:color="000000"/>
              <w:right w:val="single" w:sz="4" w:space="0" w:color="000000"/>
            </w:tcBorders>
            <w:vAlign w:val="center"/>
          </w:tcPr>
          <w:p w14:paraId="46983A07" w14:textId="77777777" w:rsidR="005D1ABF" w:rsidRDefault="005D1ABF" w:rsidP="005D1ABF">
            <w:pPr>
              <w:snapToGrid w:val="0"/>
              <w:jc w:val="center"/>
              <w:rPr>
                <w:sz w:val="18"/>
              </w:rPr>
            </w:pPr>
            <w:r>
              <w:rPr>
                <w:sz w:val="18"/>
              </w:rPr>
              <w:t>Erosion of natural deposits</w:t>
            </w:r>
          </w:p>
        </w:tc>
      </w:tr>
      <w:tr w:rsidR="005D1ABF" w14:paraId="6F267B4E" w14:textId="77777777" w:rsidTr="00AD7DB6">
        <w:trPr>
          <w:gridAfter w:val="1"/>
          <w:wAfter w:w="260" w:type="dxa"/>
          <w:cantSplit/>
          <w:trHeight w:val="602"/>
        </w:trPr>
        <w:tc>
          <w:tcPr>
            <w:tcW w:w="1452" w:type="dxa"/>
            <w:tcBorders>
              <w:top w:val="single" w:sz="4" w:space="0" w:color="000000"/>
              <w:left w:val="single" w:sz="4" w:space="0" w:color="000000"/>
              <w:bottom w:val="single" w:sz="4" w:space="0" w:color="000000"/>
              <w:right w:val="nil"/>
            </w:tcBorders>
            <w:vAlign w:val="center"/>
            <w:hideMark/>
          </w:tcPr>
          <w:p w14:paraId="17A62220" w14:textId="77777777" w:rsidR="005D1ABF" w:rsidRDefault="005D1ABF" w:rsidP="005D1ABF">
            <w:pPr>
              <w:snapToGrid w:val="0"/>
              <w:rPr>
                <w:sz w:val="18"/>
              </w:rPr>
            </w:pPr>
            <w:r>
              <w:rPr>
                <w:sz w:val="18"/>
              </w:rPr>
              <w:t xml:space="preserve"> Radium 226 + 228 or combined radium (</w:t>
            </w:r>
            <w:proofErr w:type="spellStart"/>
            <w:r>
              <w:rPr>
                <w:sz w:val="18"/>
              </w:rPr>
              <w:t>pCi</w:t>
            </w:r>
            <w:proofErr w:type="spellEnd"/>
            <w:r>
              <w:rPr>
                <w:sz w:val="18"/>
              </w:rPr>
              <w:t>/L)</w:t>
            </w:r>
          </w:p>
        </w:tc>
        <w:tc>
          <w:tcPr>
            <w:tcW w:w="949" w:type="dxa"/>
            <w:tcBorders>
              <w:top w:val="single" w:sz="4" w:space="0" w:color="000000"/>
              <w:left w:val="single" w:sz="4" w:space="0" w:color="000000"/>
              <w:bottom w:val="single" w:sz="4" w:space="0" w:color="000000"/>
              <w:right w:val="nil"/>
            </w:tcBorders>
            <w:vAlign w:val="center"/>
            <w:hideMark/>
          </w:tcPr>
          <w:p w14:paraId="5B77F63F" w14:textId="257D8B3D" w:rsidR="005D1ABF" w:rsidRDefault="005A4233" w:rsidP="005D1ABF">
            <w:pPr>
              <w:snapToGrid w:val="0"/>
              <w:jc w:val="center"/>
              <w:rPr>
                <w:sz w:val="18"/>
              </w:rPr>
            </w:pPr>
            <w:r>
              <w:rPr>
                <w:sz w:val="18"/>
              </w:rPr>
              <w:t>8/21</w:t>
            </w:r>
          </w:p>
        </w:tc>
        <w:tc>
          <w:tcPr>
            <w:tcW w:w="847" w:type="dxa"/>
            <w:tcBorders>
              <w:top w:val="single" w:sz="4" w:space="0" w:color="000000"/>
              <w:left w:val="single" w:sz="4" w:space="0" w:color="000000"/>
              <w:bottom w:val="single" w:sz="4" w:space="0" w:color="000000"/>
              <w:right w:val="nil"/>
            </w:tcBorders>
            <w:vAlign w:val="center"/>
            <w:hideMark/>
          </w:tcPr>
          <w:p w14:paraId="242EB9D0" w14:textId="77777777" w:rsidR="005D1ABF" w:rsidRDefault="005D1ABF" w:rsidP="005D1ABF">
            <w:pPr>
              <w:snapToGrid w:val="0"/>
              <w:jc w:val="center"/>
              <w:rPr>
                <w:sz w:val="18"/>
              </w:rPr>
            </w:pPr>
            <w:r>
              <w:rPr>
                <w:sz w:val="18"/>
              </w:rPr>
              <w:t>N</w:t>
            </w:r>
          </w:p>
        </w:tc>
        <w:tc>
          <w:tcPr>
            <w:tcW w:w="1127" w:type="dxa"/>
            <w:tcBorders>
              <w:top w:val="single" w:sz="4" w:space="0" w:color="000000"/>
              <w:left w:val="single" w:sz="4" w:space="0" w:color="000000"/>
              <w:bottom w:val="single" w:sz="4" w:space="0" w:color="000000"/>
              <w:right w:val="nil"/>
            </w:tcBorders>
            <w:vAlign w:val="center"/>
            <w:hideMark/>
          </w:tcPr>
          <w:p w14:paraId="2F9B1BC2" w14:textId="5D0777AC" w:rsidR="005D1ABF" w:rsidRDefault="005A4233" w:rsidP="005D1ABF">
            <w:pPr>
              <w:snapToGrid w:val="0"/>
              <w:jc w:val="center"/>
              <w:rPr>
                <w:sz w:val="18"/>
              </w:rPr>
            </w:pPr>
            <w:r>
              <w:rPr>
                <w:sz w:val="18"/>
              </w:rPr>
              <w:t>3.1</w:t>
            </w:r>
          </w:p>
        </w:tc>
        <w:tc>
          <w:tcPr>
            <w:tcW w:w="684" w:type="dxa"/>
            <w:tcBorders>
              <w:top w:val="single" w:sz="4" w:space="0" w:color="000000"/>
              <w:left w:val="single" w:sz="4" w:space="0" w:color="000000"/>
              <w:bottom w:val="single" w:sz="4" w:space="0" w:color="000000"/>
              <w:right w:val="nil"/>
            </w:tcBorders>
            <w:vAlign w:val="center"/>
            <w:hideMark/>
          </w:tcPr>
          <w:p w14:paraId="6C84A7FB" w14:textId="4F03E03C" w:rsidR="005D1ABF" w:rsidRDefault="002E5326" w:rsidP="002E5326">
            <w:pPr>
              <w:snapToGrid w:val="0"/>
              <w:rPr>
                <w:sz w:val="18"/>
              </w:rPr>
            </w:pPr>
            <w:r>
              <w:rPr>
                <w:sz w:val="18"/>
              </w:rPr>
              <w:t xml:space="preserve"> 0.9-2.2</w:t>
            </w:r>
          </w:p>
        </w:tc>
        <w:tc>
          <w:tcPr>
            <w:tcW w:w="2874" w:type="dxa"/>
            <w:tcBorders>
              <w:top w:val="single" w:sz="4" w:space="0" w:color="000000"/>
              <w:left w:val="single" w:sz="4" w:space="0" w:color="000000"/>
              <w:bottom w:val="single" w:sz="4" w:space="0" w:color="000000"/>
              <w:right w:val="nil"/>
            </w:tcBorders>
            <w:vAlign w:val="center"/>
            <w:hideMark/>
          </w:tcPr>
          <w:p w14:paraId="382D4577" w14:textId="77777777" w:rsidR="005D1ABF" w:rsidRDefault="005D1ABF" w:rsidP="005D1ABF">
            <w:pPr>
              <w:snapToGrid w:val="0"/>
              <w:jc w:val="center"/>
              <w:rPr>
                <w:sz w:val="18"/>
              </w:rPr>
            </w:pPr>
            <w:r>
              <w:rPr>
                <w:sz w:val="18"/>
              </w:rPr>
              <w:t>0</w:t>
            </w:r>
          </w:p>
        </w:tc>
        <w:tc>
          <w:tcPr>
            <w:tcW w:w="523" w:type="dxa"/>
            <w:tcBorders>
              <w:top w:val="single" w:sz="4" w:space="0" w:color="000000"/>
              <w:left w:val="single" w:sz="4" w:space="0" w:color="000000"/>
              <w:bottom w:val="single" w:sz="4" w:space="0" w:color="000000"/>
              <w:right w:val="nil"/>
            </w:tcBorders>
            <w:vAlign w:val="center"/>
            <w:hideMark/>
          </w:tcPr>
          <w:p w14:paraId="3BCEB4AE" w14:textId="77777777" w:rsidR="005D1ABF" w:rsidRDefault="005D1ABF" w:rsidP="005D1ABF">
            <w:pPr>
              <w:snapToGrid w:val="0"/>
              <w:jc w:val="center"/>
              <w:rPr>
                <w:sz w:val="18"/>
              </w:rPr>
            </w:pPr>
            <w:r>
              <w:rPr>
                <w:sz w:val="18"/>
              </w:rPr>
              <w:t>5</w:t>
            </w:r>
          </w:p>
        </w:tc>
        <w:tc>
          <w:tcPr>
            <w:tcW w:w="1989" w:type="dxa"/>
            <w:tcBorders>
              <w:top w:val="single" w:sz="4" w:space="0" w:color="000000"/>
              <w:left w:val="single" w:sz="4" w:space="0" w:color="000000"/>
              <w:bottom w:val="single" w:sz="4" w:space="0" w:color="000000"/>
              <w:right w:val="single" w:sz="4" w:space="0" w:color="000000"/>
            </w:tcBorders>
            <w:vAlign w:val="center"/>
          </w:tcPr>
          <w:p w14:paraId="0575258F" w14:textId="77777777" w:rsidR="00F824E1" w:rsidRDefault="00F824E1" w:rsidP="005D1ABF">
            <w:pPr>
              <w:snapToGrid w:val="0"/>
              <w:jc w:val="center"/>
              <w:rPr>
                <w:sz w:val="18"/>
              </w:rPr>
            </w:pPr>
          </w:p>
          <w:p w14:paraId="03F657DF" w14:textId="0A51F6C9" w:rsidR="005D1ABF" w:rsidRDefault="005D1ABF" w:rsidP="005D1ABF">
            <w:pPr>
              <w:snapToGrid w:val="0"/>
              <w:jc w:val="center"/>
              <w:rPr>
                <w:sz w:val="18"/>
              </w:rPr>
            </w:pPr>
            <w:r>
              <w:rPr>
                <w:sz w:val="18"/>
              </w:rPr>
              <w:t>Erosion of natural deposits</w:t>
            </w:r>
          </w:p>
          <w:p w14:paraId="1C95C5A1" w14:textId="77777777" w:rsidR="005D1ABF" w:rsidRDefault="005D1ABF" w:rsidP="005D1ABF">
            <w:pPr>
              <w:snapToGrid w:val="0"/>
              <w:rPr>
                <w:sz w:val="18"/>
              </w:rPr>
            </w:pPr>
          </w:p>
          <w:p w14:paraId="38CB6D22" w14:textId="77777777" w:rsidR="005D1ABF" w:rsidRDefault="005D1ABF" w:rsidP="005D1ABF">
            <w:pPr>
              <w:snapToGrid w:val="0"/>
              <w:rPr>
                <w:sz w:val="18"/>
              </w:rPr>
            </w:pPr>
          </w:p>
        </w:tc>
      </w:tr>
      <w:tr w:rsidR="005D1ABF" w14:paraId="0C1A52AE" w14:textId="77777777" w:rsidTr="00AD7DB6">
        <w:trPr>
          <w:cantSplit/>
          <w:trHeight w:val="323"/>
        </w:trPr>
        <w:tc>
          <w:tcPr>
            <w:tcW w:w="10705" w:type="dxa"/>
            <w:gridSpan w:val="9"/>
            <w:tcBorders>
              <w:right w:val="nil"/>
            </w:tcBorders>
            <w:tcMar>
              <w:top w:w="0" w:type="dxa"/>
              <w:left w:w="100" w:type="dxa"/>
              <w:bottom w:w="0" w:type="dxa"/>
              <w:right w:w="100" w:type="dxa"/>
            </w:tcMar>
            <w:vAlign w:val="center"/>
            <w:hideMark/>
          </w:tcPr>
          <w:p w14:paraId="7C620E36" w14:textId="77777777" w:rsidR="00A943DC" w:rsidRDefault="00A943DC" w:rsidP="005D1ABF">
            <w:pPr>
              <w:pStyle w:val="Heading1"/>
              <w:widowControl/>
              <w:snapToGrid w:val="0"/>
              <w:spacing w:before="0" w:after="0"/>
              <w:ind w:left="3168" w:hanging="3168"/>
              <w:rPr>
                <w:rFonts w:ascii="Times New Roman" w:hAnsi="Times New Roman"/>
              </w:rPr>
            </w:pPr>
          </w:p>
          <w:p w14:paraId="325543E4" w14:textId="50A8F23E" w:rsidR="005D1ABF" w:rsidRDefault="005D1ABF" w:rsidP="005D1ABF">
            <w:pPr>
              <w:pStyle w:val="Heading1"/>
              <w:widowControl/>
              <w:snapToGrid w:val="0"/>
              <w:spacing w:before="0" w:after="0"/>
              <w:ind w:left="3168" w:hanging="3168"/>
              <w:rPr>
                <w:rFonts w:ascii="Times New Roman" w:hAnsi="Times New Roman"/>
              </w:rPr>
            </w:pPr>
            <w:r>
              <w:rPr>
                <w:rFonts w:ascii="Times New Roman" w:hAnsi="Times New Roman"/>
              </w:rPr>
              <w:t xml:space="preserve">Inorganic Contaminants </w:t>
            </w:r>
          </w:p>
        </w:tc>
      </w:tr>
      <w:tr w:rsidR="00A825B2" w14:paraId="656CB5BC" w14:textId="77777777" w:rsidTr="00AD7DB6">
        <w:trPr>
          <w:gridAfter w:val="1"/>
          <w:wAfter w:w="260" w:type="dxa"/>
          <w:cantSplit/>
          <w:trHeight w:val="782"/>
        </w:trPr>
        <w:tc>
          <w:tcPr>
            <w:tcW w:w="1452" w:type="dxa"/>
            <w:tcBorders>
              <w:top w:val="single" w:sz="4" w:space="0" w:color="000000"/>
              <w:left w:val="single" w:sz="4" w:space="0" w:color="000000"/>
              <w:bottom w:val="single" w:sz="4" w:space="0" w:color="000000"/>
              <w:right w:val="nil"/>
            </w:tcBorders>
            <w:vAlign w:val="center"/>
          </w:tcPr>
          <w:p w14:paraId="68E2904F" w14:textId="77777777" w:rsidR="00A825B2" w:rsidRDefault="00A825B2" w:rsidP="00A825B2">
            <w:pPr>
              <w:snapToGrid w:val="0"/>
              <w:rPr>
                <w:b/>
                <w:sz w:val="18"/>
              </w:rPr>
            </w:pPr>
            <w:r>
              <w:rPr>
                <w:b/>
                <w:sz w:val="18"/>
              </w:rPr>
              <w:t>Contaminant and Unit of Measurement</w:t>
            </w:r>
          </w:p>
        </w:tc>
        <w:tc>
          <w:tcPr>
            <w:tcW w:w="949" w:type="dxa"/>
            <w:tcBorders>
              <w:top w:val="single" w:sz="4" w:space="0" w:color="000000"/>
              <w:left w:val="single" w:sz="4" w:space="0" w:color="000000"/>
              <w:bottom w:val="single" w:sz="4" w:space="0" w:color="000000"/>
              <w:right w:val="nil"/>
            </w:tcBorders>
            <w:vAlign w:val="center"/>
          </w:tcPr>
          <w:p w14:paraId="56C72241" w14:textId="77777777" w:rsidR="00A825B2" w:rsidRDefault="00A825B2" w:rsidP="00A825B2">
            <w:pPr>
              <w:snapToGrid w:val="0"/>
              <w:jc w:val="center"/>
              <w:rPr>
                <w:b/>
                <w:sz w:val="18"/>
              </w:rPr>
            </w:pPr>
            <w:r>
              <w:rPr>
                <w:b/>
                <w:sz w:val="18"/>
              </w:rPr>
              <w:t>Dates of sampling (mo./yr.)</w:t>
            </w:r>
          </w:p>
        </w:tc>
        <w:tc>
          <w:tcPr>
            <w:tcW w:w="847" w:type="dxa"/>
            <w:tcBorders>
              <w:top w:val="single" w:sz="4" w:space="0" w:color="000000"/>
              <w:left w:val="single" w:sz="4" w:space="0" w:color="000000"/>
              <w:bottom w:val="single" w:sz="4" w:space="0" w:color="000000"/>
              <w:right w:val="nil"/>
            </w:tcBorders>
            <w:vAlign w:val="center"/>
          </w:tcPr>
          <w:p w14:paraId="307A059C" w14:textId="77777777" w:rsidR="00A825B2" w:rsidRDefault="00A825B2" w:rsidP="00A825B2">
            <w:pPr>
              <w:snapToGrid w:val="0"/>
              <w:jc w:val="center"/>
              <w:rPr>
                <w:b/>
                <w:sz w:val="18"/>
              </w:rPr>
            </w:pPr>
            <w:r>
              <w:rPr>
                <w:b/>
                <w:sz w:val="18"/>
              </w:rPr>
              <w:t>MCL Violation Y/N</w:t>
            </w:r>
          </w:p>
        </w:tc>
        <w:tc>
          <w:tcPr>
            <w:tcW w:w="1127" w:type="dxa"/>
            <w:tcBorders>
              <w:top w:val="single" w:sz="4" w:space="0" w:color="000000"/>
              <w:left w:val="single" w:sz="4" w:space="0" w:color="000000"/>
              <w:bottom w:val="single" w:sz="4" w:space="0" w:color="000000"/>
              <w:right w:val="nil"/>
            </w:tcBorders>
            <w:vAlign w:val="center"/>
          </w:tcPr>
          <w:p w14:paraId="5435FE06" w14:textId="77777777" w:rsidR="00A825B2" w:rsidRDefault="00A825B2" w:rsidP="00A825B2">
            <w:pPr>
              <w:snapToGrid w:val="0"/>
              <w:jc w:val="center"/>
              <w:rPr>
                <w:b/>
                <w:sz w:val="18"/>
              </w:rPr>
            </w:pPr>
            <w:r>
              <w:rPr>
                <w:b/>
                <w:sz w:val="18"/>
              </w:rPr>
              <w:t>Level Detected</w:t>
            </w:r>
          </w:p>
        </w:tc>
        <w:tc>
          <w:tcPr>
            <w:tcW w:w="684" w:type="dxa"/>
            <w:tcBorders>
              <w:top w:val="single" w:sz="4" w:space="0" w:color="000000"/>
              <w:left w:val="single" w:sz="4" w:space="0" w:color="000000"/>
              <w:bottom w:val="single" w:sz="4" w:space="0" w:color="000000"/>
              <w:right w:val="nil"/>
            </w:tcBorders>
            <w:vAlign w:val="center"/>
          </w:tcPr>
          <w:p w14:paraId="365F098B" w14:textId="77777777" w:rsidR="00A825B2" w:rsidRDefault="00A825B2" w:rsidP="00A825B2">
            <w:pPr>
              <w:snapToGrid w:val="0"/>
              <w:jc w:val="center"/>
              <w:rPr>
                <w:b/>
                <w:sz w:val="18"/>
              </w:rPr>
            </w:pPr>
            <w:r>
              <w:rPr>
                <w:b/>
                <w:sz w:val="18"/>
              </w:rPr>
              <w:t>Range of Results</w:t>
            </w:r>
          </w:p>
        </w:tc>
        <w:tc>
          <w:tcPr>
            <w:tcW w:w="2874" w:type="dxa"/>
            <w:tcBorders>
              <w:top w:val="single" w:sz="4" w:space="0" w:color="000000"/>
              <w:left w:val="single" w:sz="4" w:space="0" w:color="000000"/>
              <w:bottom w:val="single" w:sz="4" w:space="0" w:color="000000"/>
              <w:right w:val="nil"/>
            </w:tcBorders>
            <w:vAlign w:val="center"/>
          </w:tcPr>
          <w:p w14:paraId="76FDD968" w14:textId="77777777" w:rsidR="00A825B2" w:rsidRDefault="00A825B2" w:rsidP="00A825B2">
            <w:pPr>
              <w:snapToGrid w:val="0"/>
              <w:jc w:val="center"/>
              <w:rPr>
                <w:b/>
                <w:sz w:val="16"/>
              </w:rPr>
            </w:pPr>
            <w:r>
              <w:rPr>
                <w:b/>
                <w:sz w:val="16"/>
              </w:rPr>
              <w:t>MCLG</w:t>
            </w:r>
          </w:p>
        </w:tc>
        <w:tc>
          <w:tcPr>
            <w:tcW w:w="523" w:type="dxa"/>
            <w:tcBorders>
              <w:top w:val="single" w:sz="4" w:space="0" w:color="000000"/>
              <w:left w:val="single" w:sz="4" w:space="0" w:color="000000"/>
              <w:bottom w:val="single" w:sz="4" w:space="0" w:color="000000"/>
              <w:right w:val="nil"/>
            </w:tcBorders>
            <w:vAlign w:val="center"/>
          </w:tcPr>
          <w:p w14:paraId="038A68AA" w14:textId="77777777" w:rsidR="00A825B2" w:rsidRDefault="00A825B2" w:rsidP="00A825B2">
            <w:pPr>
              <w:snapToGrid w:val="0"/>
              <w:jc w:val="center"/>
              <w:rPr>
                <w:b/>
                <w:sz w:val="18"/>
              </w:rPr>
            </w:pPr>
            <w:r>
              <w:rPr>
                <w:b/>
                <w:sz w:val="18"/>
              </w:rPr>
              <w:t>MCL</w:t>
            </w:r>
          </w:p>
        </w:tc>
        <w:tc>
          <w:tcPr>
            <w:tcW w:w="1989" w:type="dxa"/>
            <w:tcBorders>
              <w:top w:val="single" w:sz="4" w:space="0" w:color="000000"/>
              <w:left w:val="single" w:sz="4" w:space="0" w:color="000000"/>
              <w:bottom w:val="single" w:sz="4" w:space="0" w:color="000000"/>
              <w:right w:val="single" w:sz="4" w:space="0" w:color="000000"/>
            </w:tcBorders>
            <w:vAlign w:val="center"/>
          </w:tcPr>
          <w:p w14:paraId="6FDDFB3A" w14:textId="77777777" w:rsidR="00A825B2" w:rsidRDefault="00A825B2" w:rsidP="00A825B2">
            <w:pPr>
              <w:snapToGrid w:val="0"/>
              <w:jc w:val="center"/>
              <w:rPr>
                <w:b/>
                <w:sz w:val="18"/>
              </w:rPr>
            </w:pPr>
            <w:r>
              <w:rPr>
                <w:b/>
                <w:sz w:val="18"/>
              </w:rPr>
              <w:t>Likely Source of Contamination</w:t>
            </w:r>
          </w:p>
          <w:p w14:paraId="31FBC620" w14:textId="77777777" w:rsidR="00A825B2" w:rsidRDefault="00A825B2" w:rsidP="00A825B2">
            <w:pPr>
              <w:snapToGrid w:val="0"/>
              <w:rPr>
                <w:b/>
                <w:sz w:val="18"/>
              </w:rPr>
            </w:pPr>
          </w:p>
          <w:p w14:paraId="22EC7C63" w14:textId="77777777" w:rsidR="00A825B2" w:rsidRDefault="00A825B2" w:rsidP="00A825B2">
            <w:pPr>
              <w:snapToGrid w:val="0"/>
              <w:rPr>
                <w:b/>
                <w:sz w:val="18"/>
              </w:rPr>
            </w:pPr>
          </w:p>
        </w:tc>
      </w:tr>
      <w:tr w:rsidR="00A825B2" w14:paraId="7EC52963" w14:textId="77777777" w:rsidTr="00AD7DB6">
        <w:trPr>
          <w:gridAfter w:val="1"/>
          <w:wAfter w:w="260" w:type="dxa"/>
          <w:cantSplit/>
          <w:trHeight w:val="782"/>
        </w:trPr>
        <w:tc>
          <w:tcPr>
            <w:tcW w:w="1452" w:type="dxa"/>
            <w:tcBorders>
              <w:top w:val="single" w:sz="4" w:space="0" w:color="000000"/>
              <w:left w:val="single" w:sz="4" w:space="0" w:color="000000"/>
              <w:bottom w:val="single" w:sz="4" w:space="0" w:color="000000"/>
              <w:right w:val="nil"/>
            </w:tcBorders>
            <w:vAlign w:val="center"/>
            <w:hideMark/>
          </w:tcPr>
          <w:p w14:paraId="04A672FD" w14:textId="77777777" w:rsidR="00A825B2" w:rsidRDefault="00A825B2" w:rsidP="00A825B2">
            <w:pPr>
              <w:tabs>
                <w:tab w:val="left" w:pos="1050"/>
              </w:tabs>
              <w:snapToGrid w:val="0"/>
              <w:ind w:left="350" w:hanging="350"/>
              <w:rPr>
                <w:sz w:val="18"/>
              </w:rPr>
            </w:pPr>
            <w:r>
              <w:rPr>
                <w:sz w:val="18"/>
              </w:rPr>
              <w:t>Barium (ppm)</w:t>
            </w:r>
          </w:p>
        </w:tc>
        <w:tc>
          <w:tcPr>
            <w:tcW w:w="949" w:type="dxa"/>
            <w:tcBorders>
              <w:top w:val="single" w:sz="4" w:space="0" w:color="000000"/>
              <w:left w:val="single" w:sz="4" w:space="0" w:color="000000"/>
              <w:bottom w:val="single" w:sz="4" w:space="0" w:color="000000"/>
              <w:right w:val="nil"/>
            </w:tcBorders>
            <w:vAlign w:val="center"/>
            <w:hideMark/>
          </w:tcPr>
          <w:p w14:paraId="0096146D" w14:textId="583DBD0B" w:rsidR="00A825B2" w:rsidRDefault="00C74C4C" w:rsidP="00A825B2">
            <w:pPr>
              <w:snapToGrid w:val="0"/>
              <w:jc w:val="center"/>
              <w:rPr>
                <w:sz w:val="18"/>
              </w:rPr>
            </w:pPr>
            <w:r>
              <w:rPr>
                <w:sz w:val="18"/>
              </w:rPr>
              <w:t>11/21</w:t>
            </w:r>
          </w:p>
        </w:tc>
        <w:tc>
          <w:tcPr>
            <w:tcW w:w="847" w:type="dxa"/>
            <w:tcBorders>
              <w:top w:val="single" w:sz="4" w:space="0" w:color="000000"/>
              <w:left w:val="single" w:sz="4" w:space="0" w:color="000000"/>
              <w:bottom w:val="single" w:sz="4" w:space="0" w:color="000000"/>
              <w:right w:val="nil"/>
            </w:tcBorders>
            <w:vAlign w:val="center"/>
            <w:hideMark/>
          </w:tcPr>
          <w:p w14:paraId="189A5C23" w14:textId="77777777" w:rsidR="00A825B2" w:rsidRDefault="00A825B2" w:rsidP="00A825B2">
            <w:pPr>
              <w:snapToGrid w:val="0"/>
              <w:jc w:val="center"/>
              <w:rPr>
                <w:sz w:val="18"/>
              </w:rPr>
            </w:pPr>
            <w:r>
              <w:rPr>
                <w:sz w:val="18"/>
              </w:rPr>
              <w:t>N</w:t>
            </w:r>
          </w:p>
        </w:tc>
        <w:tc>
          <w:tcPr>
            <w:tcW w:w="1127" w:type="dxa"/>
            <w:tcBorders>
              <w:top w:val="single" w:sz="4" w:space="0" w:color="000000"/>
              <w:left w:val="single" w:sz="4" w:space="0" w:color="000000"/>
              <w:bottom w:val="single" w:sz="4" w:space="0" w:color="000000"/>
              <w:right w:val="nil"/>
            </w:tcBorders>
            <w:vAlign w:val="center"/>
            <w:hideMark/>
          </w:tcPr>
          <w:p w14:paraId="74CD6994" w14:textId="51ED3E52" w:rsidR="00A825B2" w:rsidRDefault="00A825B2" w:rsidP="00A825B2">
            <w:pPr>
              <w:snapToGrid w:val="0"/>
              <w:jc w:val="center"/>
              <w:rPr>
                <w:sz w:val="18"/>
              </w:rPr>
            </w:pPr>
            <w:r>
              <w:rPr>
                <w:sz w:val="18"/>
              </w:rPr>
              <w:t>0.0</w:t>
            </w:r>
            <w:r w:rsidR="000B2F3F">
              <w:rPr>
                <w:sz w:val="18"/>
              </w:rPr>
              <w:t>473</w:t>
            </w:r>
          </w:p>
        </w:tc>
        <w:tc>
          <w:tcPr>
            <w:tcW w:w="684" w:type="dxa"/>
            <w:tcBorders>
              <w:top w:val="single" w:sz="4" w:space="0" w:color="000000"/>
              <w:left w:val="single" w:sz="4" w:space="0" w:color="000000"/>
              <w:bottom w:val="single" w:sz="4" w:space="0" w:color="000000"/>
              <w:right w:val="nil"/>
            </w:tcBorders>
            <w:vAlign w:val="center"/>
            <w:hideMark/>
          </w:tcPr>
          <w:p w14:paraId="07584752" w14:textId="77777777" w:rsidR="00A825B2" w:rsidRDefault="00A825B2" w:rsidP="00A825B2">
            <w:pPr>
              <w:snapToGrid w:val="0"/>
              <w:jc w:val="center"/>
              <w:rPr>
                <w:sz w:val="18"/>
              </w:rPr>
            </w:pPr>
            <w:r>
              <w:rPr>
                <w:sz w:val="18"/>
              </w:rPr>
              <w:t>N/A</w:t>
            </w:r>
          </w:p>
        </w:tc>
        <w:tc>
          <w:tcPr>
            <w:tcW w:w="2874" w:type="dxa"/>
            <w:tcBorders>
              <w:top w:val="single" w:sz="4" w:space="0" w:color="000000"/>
              <w:left w:val="single" w:sz="4" w:space="0" w:color="000000"/>
              <w:bottom w:val="single" w:sz="4" w:space="0" w:color="000000"/>
              <w:right w:val="nil"/>
            </w:tcBorders>
            <w:vAlign w:val="center"/>
            <w:hideMark/>
          </w:tcPr>
          <w:p w14:paraId="60B4C9E9" w14:textId="77777777" w:rsidR="00A825B2" w:rsidRDefault="00A825B2" w:rsidP="00A825B2">
            <w:pPr>
              <w:snapToGrid w:val="0"/>
              <w:jc w:val="center"/>
              <w:rPr>
                <w:sz w:val="18"/>
              </w:rPr>
            </w:pPr>
            <w:r>
              <w:rPr>
                <w:sz w:val="18"/>
              </w:rPr>
              <w:t>2</w:t>
            </w:r>
          </w:p>
        </w:tc>
        <w:tc>
          <w:tcPr>
            <w:tcW w:w="523" w:type="dxa"/>
            <w:tcBorders>
              <w:top w:val="single" w:sz="4" w:space="0" w:color="000000"/>
              <w:left w:val="single" w:sz="4" w:space="0" w:color="000000"/>
              <w:bottom w:val="single" w:sz="4" w:space="0" w:color="000000"/>
              <w:right w:val="nil"/>
            </w:tcBorders>
            <w:vAlign w:val="center"/>
            <w:hideMark/>
          </w:tcPr>
          <w:p w14:paraId="12B2E788" w14:textId="77777777" w:rsidR="00A825B2" w:rsidRDefault="00A825B2" w:rsidP="00A825B2">
            <w:pPr>
              <w:snapToGrid w:val="0"/>
              <w:jc w:val="center"/>
              <w:rPr>
                <w:sz w:val="18"/>
              </w:rPr>
            </w:pPr>
            <w:r>
              <w:rPr>
                <w:sz w:val="18"/>
              </w:rPr>
              <w:t>2</w:t>
            </w:r>
          </w:p>
        </w:tc>
        <w:tc>
          <w:tcPr>
            <w:tcW w:w="1989" w:type="dxa"/>
            <w:tcBorders>
              <w:top w:val="single" w:sz="4" w:space="0" w:color="000000"/>
              <w:left w:val="single" w:sz="4" w:space="0" w:color="000000"/>
              <w:bottom w:val="single" w:sz="4" w:space="0" w:color="000000"/>
              <w:right w:val="single" w:sz="4" w:space="0" w:color="000000"/>
            </w:tcBorders>
            <w:vAlign w:val="center"/>
            <w:hideMark/>
          </w:tcPr>
          <w:p w14:paraId="746917DB" w14:textId="77777777" w:rsidR="00A825B2" w:rsidRDefault="00A825B2" w:rsidP="00A825B2">
            <w:pPr>
              <w:snapToGrid w:val="0"/>
              <w:rPr>
                <w:sz w:val="18"/>
              </w:rPr>
            </w:pPr>
            <w:r>
              <w:rPr>
                <w:sz w:val="18"/>
              </w:rPr>
              <w:t>Discharge of drilling wastes; Discharge from metal refineries; Erosion of natural deposits.</w:t>
            </w:r>
          </w:p>
        </w:tc>
      </w:tr>
      <w:tr w:rsidR="00AF6AF9" w14:paraId="15F90438" w14:textId="77777777" w:rsidTr="00AD7DB6">
        <w:trPr>
          <w:gridAfter w:val="1"/>
          <w:wAfter w:w="260" w:type="dxa"/>
          <w:cantSplit/>
          <w:trHeight w:val="782"/>
        </w:trPr>
        <w:tc>
          <w:tcPr>
            <w:tcW w:w="1452" w:type="dxa"/>
            <w:tcBorders>
              <w:top w:val="single" w:sz="4" w:space="0" w:color="000000"/>
              <w:left w:val="single" w:sz="4" w:space="0" w:color="000000"/>
              <w:bottom w:val="single" w:sz="4" w:space="0" w:color="000000"/>
              <w:right w:val="nil"/>
            </w:tcBorders>
            <w:vAlign w:val="center"/>
          </w:tcPr>
          <w:p w14:paraId="7C95550C" w14:textId="1C7F6224" w:rsidR="00AF6AF9" w:rsidRDefault="00AF6AF9" w:rsidP="00A825B2">
            <w:pPr>
              <w:tabs>
                <w:tab w:val="left" w:pos="1050"/>
              </w:tabs>
              <w:snapToGrid w:val="0"/>
              <w:ind w:left="350" w:hanging="350"/>
              <w:rPr>
                <w:sz w:val="18"/>
              </w:rPr>
            </w:pPr>
            <w:r>
              <w:rPr>
                <w:sz w:val="18"/>
              </w:rPr>
              <w:t xml:space="preserve">Chromium </w:t>
            </w:r>
            <w:r w:rsidR="003608CA">
              <w:rPr>
                <w:sz w:val="18"/>
              </w:rPr>
              <w:t>(ppb)</w:t>
            </w:r>
          </w:p>
        </w:tc>
        <w:tc>
          <w:tcPr>
            <w:tcW w:w="949" w:type="dxa"/>
            <w:tcBorders>
              <w:top w:val="single" w:sz="4" w:space="0" w:color="000000"/>
              <w:left w:val="single" w:sz="4" w:space="0" w:color="000000"/>
              <w:bottom w:val="single" w:sz="4" w:space="0" w:color="000000"/>
              <w:right w:val="nil"/>
            </w:tcBorders>
            <w:vAlign w:val="center"/>
          </w:tcPr>
          <w:p w14:paraId="07ECA014" w14:textId="240CF85D" w:rsidR="00AF6AF9" w:rsidRDefault="003608CA" w:rsidP="003608CA">
            <w:pPr>
              <w:snapToGrid w:val="0"/>
              <w:jc w:val="center"/>
              <w:rPr>
                <w:sz w:val="18"/>
              </w:rPr>
            </w:pPr>
            <w:r>
              <w:rPr>
                <w:sz w:val="18"/>
              </w:rPr>
              <w:t>11/21</w:t>
            </w:r>
          </w:p>
        </w:tc>
        <w:tc>
          <w:tcPr>
            <w:tcW w:w="847" w:type="dxa"/>
            <w:tcBorders>
              <w:top w:val="single" w:sz="4" w:space="0" w:color="000000"/>
              <w:left w:val="single" w:sz="4" w:space="0" w:color="000000"/>
              <w:bottom w:val="single" w:sz="4" w:space="0" w:color="000000"/>
              <w:right w:val="nil"/>
            </w:tcBorders>
            <w:vAlign w:val="center"/>
          </w:tcPr>
          <w:p w14:paraId="1BC5D657" w14:textId="08CD6D09" w:rsidR="00AF6AF9" w:rsidRDefault="003608CA" w:rsidP="00A825B2">
            <w:pPr>
              <w:snapToGrid w:val="0"/>
              <w:jc w:val="center"/>
              <w:rPr>
                <w:sz w:val="18"/>
              </w:rPr>
            </w:pPr>
            <w:r>
              <w:rPr>
                <w:sz w:val="18"/>
              </w:rPr>
              <w:t>N</w:t>
            </w:r>
          </w:p>
        </w:tc>
        <w:tc>
          <w:tcPr>
            <w:tcW w:w="1127" w:type="dxa"/>
            <w:tcBorders>
              <w:top w:val="single" w:sz="4" w:space="0" w:color="000000"/>
              <w:left w:val="single" w:sz="4" w:space="0" w:color="000000"/>
              <w:bottom w:val="single" w:sz="4" w:space="0" w:color="000000"/>
              <w:right w:val="nil"/>
            </w:tcBorders>
            <w:vAlign w:val="center"/>
          </w:tcPr>
          <w:p w14:paraId="0FBC8E7E" w14:textId="73BEFF11" w:rsidR="00AF6AF9" w:rsidRDefault="004E4045" w:rsidP="00A825B2">
            <w:pPr>
              <w:snapToGrid w:val="0"/>
              <w:jc w:val="center"/>
              <w:rPr>
                <w:sz w:val="18"/>
              </w:rPr>
            </w:pPr>
            <w:r>
              <w:rPr>
                <w:sz w:val="18"/>
              </w:rPr>
              <w:t>0.66</w:t>
            </w:r>
          </w:p>
        </w:tc>
        <w:tc>
          <w:tcPr>
            <w:tcW w:w="684" w:type="dxa"/>
            <w:tcBorders>
              <w:top w:val="single" w:sz="4" w:space="0" w:color="000000"/>
              <w:left w:val="single" w:sz="4" w:space="0" w:color="000000"/>
              <w:bottom w:val="single" w:sz="4" w:space="0" w:color="000000"/>
              <w:right w:val="nil"/>
            </w:tcBorders>
            <w:vAlign w:val="center"/>
          </w:tcPr>
          <w:p w14:paraId="4FB324CE" w14:textId="01C2C6FC" w:rsidR="00AF6AF9" w:rsidRDefault="004E4045" w:rsidP="00A825B2">
            <w:pPr>
              <w:snapToGrid w:val="0"/>
              <w:jc w:val="center"/>
              <w:rPr>
                <w:sz w:val="18"/>
              </w:rPr>
            </w:pPr>
            <w:r>
              <w:rPr>
                <w:sz w:val="18"/>
              </w:rPr>
              <w:t>N/A</w:t>
            </w:r>
          </w:p>
        </w:tc>
        <w:tc>
          <w:tcPr>
            <w:tcW w:w="2874" w:type="dxa"/>
            <w:tcBorders>
              <w:top w:val="single" w:sz="4" w:space="0" w:color="000000"/>
              <w:left w:val="single" w:sz="4" w:space="0" w:color="000000"/>
              <w:bottom w:val="single" w:sz="4" w:space="0" w:color="000000"/>
              <w:right w:val="nil"/>
            </w:tcBorders>
            <w:vAlign w:val="center"/>
          </w:tcPr>
          <w:p w14:paraId="2697D30C" w14:textId="51373192" w:rsidR="00AF6AF9" w:rsidRDefault="004E4045" w:rsidP="00A825B2">
            <w:pPr>
              <w:snapToGrid w:val="0"/>
              <w:jc w:val="center"/>
              <w:rPr>
                <w:sz w:val="18"/>
              </w:rPr>
            </w:pPr>
            <w:r>
              <w:rPr>
                <w:sz w:val="18"/>
              </w:rPr>
              <w:t>100</w:t>
            </w:r>
          </w:p>
        </w:tc>
        <w:tc>
          <w:tcPr>
            <w:tcW w:w="523" w:type="dxa"/>
            <w:tcBorders>
              <w:top w:val="single" w:sz="4" w:space="0" w:color="000000"/>
              <w:left w:val="single" w:sz="4" w:space="0" w:color="000000"/>
              <w:bottom w:val="single" w:sz="4" w:space="0" w:color="000000"/>
              <w:right w:val="nil"/>
            </w:tcBorders>
            <w:vAlign w:val="center"/>
          </w:tcPr>
          <w:p w14:paraId="29882F87" w14:textId="20D0FDA4" w:rsidR="00AF6AF9" w:rsidRDefault="004E4045" w:rsidP="00A825B2">
            <w:pPr>
              <w:snapToGrid w:val="0"/>
              <w:jc w:val="center"/>
              <w:rPr>
                <w:sz w:val="18"/>
              </w:rPr>
            </w:pPr>
            <w:r>
              <w:rPr>
                <w:sz w:val="18"/>
              </w:rPr>
              <w:t>100</w:t>
            </w:r>
          </w:p>
        </w:tc>
        <w:tc>
          <w:tcPr>
            <w:tcW w:w="1989" w:type="dxa"/>
            <w:tcBorders>
              <w:top w:val="single" w:sz="4" w:space="0" w:color="000000"/>
              <w:left w:val="single" w:sz="4" w:space="0" w:color="000000"/>
              <w:bottom w:val="single" w:sz="4" w:space="0" w:color="000000"/>
              <w:right w:val="single" w:sz="4" w:space="0" w:color="000000"/>
            </w:tcBorders>
            <w:vAlign w:val="center"/>
          </w:tcPr>
          <w:p w14:paraId="68942269" w14:textId="0FD83C37" w:rsidR="00AF6AF9" w:rsidRDefault="00591924" w:rsidP="00A825B2">
            <w:pPr>
              <w:snapToGrid w:val="0"/>
              <w:rPr>
                <w:sz w:val="18"/>
              </w:rPr>
            </w:pPr>
            <w:r w:rsidRPr="00EB73F9">
              <w:rPr>
                <w:sz w:val="18"/>
              </w:rPr>
              <w:t>Discharge</w:t>
            </w:r>
            <w:r>
              <w:rPr>
                <w:sz w:val="18"/>
              </w:rPr>
              <w:t xml:space="preserve"> </w:t>
            </w:r>
            <w:r w:rsidRPr="00EB73F9">
              <w:rPr>
                <w:sz w:val="18"/>
              </w:rPr>
              <w:t>from</w:t>
            </w:r>
            <w:r>
              <w:rPr>
                <w:sz w:val="18"/>
              </w:rPr>
              <w:t xml:space="preserve"> </w:t>
            </w:r>
            <w:r w:rsidRPr="00EB73F9">
              <w:rPr>
                <w:sz w:val="18"/>
              </w:rPr>
              <w:t>steel</w:t>
            </w:r>
            <w:r>
              <w:rPr>
                <w:sz w:val="18"/>
              </w:rPr>
              <w:t xml:space="preserve"> </w:t>
            </w:r>
            <w:r w:rsidRPr="00EB73F9">
              <w:rPr>
                <w:sz w:val="18"/>
              </w:rPr>
              <w:t>and</w:t>
            </w:r>
            <w:r>
              <w:rPr>
                <w:sz w:val="18"/>
              </w:rPr>
              <w:t xml:space="preserve"> </w:t>
            </w:r>
            <w:r w:rsidRPr="00EB73F9">
              <w:rPr>
                <w:sz w:val="18"/>
              </w:rPr>
              <w:t>pulp</w:t>
            </w:r>
            <w:r>
              <w:rPr>
                <w:sz w:val="18"/>
              </w:rPr>
              <w:t xml:space="preserve"> </w:t>
            </w:r>
            <w:r w:rsidRPr="00EB73F9">
              <w:rPr>
                <w:sz w:val="18"/>
              </w:rPr>
              <w:t>mills;</w:t>
            </w:r>
            <w:r>
              <w:rPr>
                <w:sz w:val="18"/>
              </w:rPr>
              <w:t xml:space="preserve"> </w:t>
            </w:r>
            <w:r w:rsidRPr="00EB73F9">
              <w:rPr>
                <w:sz w:val="18"/>
              </w:rPr>
              <w:t>erosion</w:t>
            </w:r>
            <w:r>
              <w:rPr>
                <w:sz w:val="18"/>
              </w:rPr>
              <w:t xml:space="preserve"> </w:t>
            </w:r>
            <w:r w:rsidRPr="00EB73F9">
              <w:rPr>
                <w:sz w:val="18"/>
              </w:rPr>
              <w:t>of</w:t>
            </w:r>
            <w:r>
              <w:rPr>
                <w:sz w:val="18"/>
              </w:rPr>
              <w:t xml:space="preserve"> </w:t>
            </w:r>
            <w:r w:rsidRPr="00EB73F9">
              <w:rPr>
                <w:sz w:val="18"/>
              </w:rPr>
              <w:t>natural</w:t>
            </w:r>
            <w:r>
              <w:rPr>
                <w:sz w:val="18"/>
              </w:rPr>
              <w:t xml:space="preserve"> </w:t>
            </w:r>
            <w:r w:rsidRPr="00EB73F9">
              <w:rPr>
                <w:sz w:val="18"/>
              </w:rPr>
              <w:t>deposits</w:t>
            </w:r>
          </w:p>
        </w:tc>
      </w:tr>
      <w:tr w:rsidR="00591924" w14:paraId="7691406E" w14:textId="77777777" w:rsidTr="00AD7DB6">
        <w:trPr>
          <w:gridAfter w:val="1"/>
          <w:wAfter w:w="260" w:type="dxa"/>
          <w:cantSplit/>
          <w:trHeight w:val="782"/>
        </w:trPr>
        <w:tc>
          <w:tcPr>
            <w:tcW w:w="1452" w:type="dxa"/>
            <w:tcBorders>
              <w:top w:val="single" w:sz="4" w:space="0" w:color="000000"/>
              <w:left w:val="single" w:sz="4" w:space="0" w:color="000000"/>
              <w:bottom w:val="single" w:sz="4" w:space="0" w:color="000000"/>
              <w:right w:val="nil"/>
            </w:tcBorders>
            <w:vAlign w:val="center"/>
          </w:tcPr>
          <w:p w14:paraId="5F88D31F" w14:textId="70428029" w:rsidR="00591924" w:rsidRDefault="009153CD" w:rsidP="00A825B2">
            <w:pPr>
              <w:tabs>
                <w:tab w:val="left" w:pos="1050"/>
              </w:tabs>
              <w:snapToGrid w:val="0"/>
              <w:ind w:left="350" w:hanging="350"/>
              <w:rPr>
                <w:sz w:val="18"/>
              </w:rPr>
            </w:pPr>
            <w:r>
              <w:rPr>
                <w:sz w:val="18"/>
              </w:rPr>
              <w:t>Cyanide (ppb)</w:t>
            </w:r>
          </w:p>
        </w:tc>
        <w:tc>
          <w:tcPr>
            <w:tcW w:w="949" w:type="dxa"/>
            <w:tcBorders>
              <w:top w:val="single" w:sz="4" w:space="0" w:color="000000"/>
              <w:left w:val="single" w:sz="4" w:space="0" w:color="000000"/>
              <w:bottom w:val="single" w:sz="4" w:space="0" w:color="000000"/>
              <w:right w:val="nil"/>
            </w:tcBorders>
            <w:vAlign w:val="center"/>
          </w:tcPr>
          <w:p w14:paraId="1F1830AB" w14:textId="6A26224E" w:rsidR="00591924" w:rsidRDefault="009153CD" w:rsidP="003608CA">
            <w:pPr>
              <w:snapToGrid w:val="0"/>
              <w:jc w:val="center"/>
              <w:rPr>
                <w:sz w:val="18"/>
              </w:rPr>
            </w:pPr>
            <w:r>
              <w:rPr>
                <w:sz w:val="18"/>
              </w:rPr>
              <w:t>11/21</w:t>
            </w:r>
          </w:p>
        </w:tc>
        <w:tc>
          <w:tcPr>
            <w:tcW w:w="847" w:type="dxa"/>
            <w:tcBorders>
              <w:top w:val="single" w:sz="4" w:space="0" w:color="000000"/>
              <w:left w:val="single" w:sz="4" w:space="0" w:color="000000"/>
              <w:bottom w:val="single" w:sz="4" w:space="0" w:color="000000"/>
              <w:right w:val="nil"/>
            </w:tcBorders>
            <w:vAlign w:val="center"/>
          </w:tcPr>
          <w:p w14:paraId="7E0FD2E1" w14:textId="53FEF4A9" w:rsidR="00591924" w:rsidRDefault="009153CD" w:rsidP="00A825B2">
            <w:pPr>
              <w:snapToGrid w:val="0"/>
              <w:jc w:val="center"/>
              <w:rPr>
                <w:sz w:val="18"/>
              </w:rPr>
            </w:pPr>
            <w:r>
              <w:rPr>
                <w:sz w:val="18"/>
              </w:rPr>
              <w:t>N</w:t>
            </w:r>
          </w:p>
        </w:tc>
        <w:tc>
          <w:tcPr>
            <w:tcW w:w="1127" w:type="dxa"/>
            <w:tcBorders>
              <w:top w:val="single" w:sz="4" w:space="0" w:color="000000"/>
              <w:left w:val="single" w:sz="4" w:space="0" w:color="000000"/>
              <w:bottom w:val="single" w:sz="4" w:space="0" w:color="000000"/>
              <w:right w:val="nil"/>
            </w:tcBorders>
            <w:vAlign w:val="center"/>
          </w:tcPr>
          <w:p w14:paraId="4019FBDF" w14:textId="4796A77C" w:rsidR="00591924" w:rsidRDefault="009153CD" w:rsidP="00A825B2">
            <w:pPr>
              <w:snapToGrid w:val="0"/>
              <w:jc w:val="center"/>
              <w:rPr>
                <w:sz w:val="18"/>
              </w:rPr>
            </w:pPr>
            <w:r>
              <w:rPr>
                <w:sz w:val="18"/>
              </w:rPr>
              <w:t>3.91</w:t>
            </w:r>
          </w:p>
        </w:tc>
        <w:tc>
          <w:tcPr>
            <w:tcW w:w="684" w:type="dxa"/>
            <w:tcBorders>
              <w:top w:val="single" w:sz="4" w:space="0" w:color="000000"/>
              <w:left w:val="single" w:sz="4" w:space="0" w:color="000000"/>
              <w:bottom w:val="single" w:sz="4" w:space="0" w:color="000000"/>
              <w:right w:val="nil"/>
            </w:tcBorders>
            <w:vAlign w:val="center"/>
          </w:tcPr>
          <w:p w14:paraId="3FE076D9" w14:textId="294FCB31" w:rsidR="00591924" w:rsidRDefault="00DB50C4" w:rsidP="00A825B2">
            <w:pPr>
              <w:snapToGrid w:val="0"/>
              <w:jc w:val="center"/>
              <w:rPr>
                <w:sz w:val="18"/>
              </w:rPr>
            </w:pPr>
            <w:r>
              <w:rPr>
                <w:sz w:val="18"/>
              </w:rPr>
              <w:t>N/A</w:t>
            </w:r>
          </w:p>
        </w:tc>
        <w:tc>
          <w:tcPr>
            <w:tcW w:w="2874" w:type="dxa"/>
            <w:tcBorders>
              <w:top w:val="single" w:sz="4" w:space="0" w:color="000000"/>
              <w:left w:val="single" w:sz="4" w:space="0" w:color="000000"/>
              <w:bottom w:val="single" w:sz="4" w:space="0" w:color="000000"/>
              <w:right w:val="nil"/>
            </w:tcBorders>
            <w:vAlign w:val="center"/>
          </w:tcPr>
          <w:p w14:paraId="213C3EB2" w14:textId="002843D1" w:rsidR="00591924" w:rsidRDefault="00DB50C4" w:rsidP="00A825B2">
            <w:pPr>
              <w:snapToGrid w:val="0"/>
              <w:jc w:val="center"/>
              <w:rPr>
                <w:sz w:val="18"/>
              </w:rPr>
            </w:pPr>
            <w:r>
              <w:rPr>
                <w:sz w:val="18"/>
              </w:rPr>
              <w:t>200</w:t>
            </w:r>
          </w:p>
        </w:tc>
        <w:tc>
          <w:tcPr>
            <w:tcW w:w="523" w:type="dxa"/>
            <w:tcBorders>
              <w:top w:val="single" w:sz="4" w:space="0" w:color="000000"/>
              <w:left w:val="single" w:sz="4" w:space="0" w:color="000000"/>
              <w:bottom w:val="single" w:sz="4" w:space="0" w:color="000000"/>
              <w:right w:val="nil"/>
            </w:tcBorders>
            <w:vAlign w:val="center"/>
          </w:tcPr>
          <w:p w14:paraId="1F3E00AB" w14:textId="4E586077" w:rsidR="00591924" w:rsidRDefault="00DB50C4" w:rsidP="00A825B2">
            <w:pPr>
              <w:snapToGrid w:val="0"/>
              <w:jc w:val="center"/>
              <w:rPr>
                <w:sz w:val="18"/>
              </w:rPr>
            </w:pPr>
            <w:r>
              <w:rPr>
                <w:sz w:val="18"/>
              </w:rPr>
              <w:t>200</w:t>
            </w:r>
          </w:p>
        </w:tc>
        <w:tc>
          <w:tcPr>
            <w:tcW w:w="1989" w:type="dxa"/>
            <w:tcBorders>
              <w:top w:val="single" w:sz="4" w:space="0" w:color="000000"/>
              <w:left w:val="single" w:sz="4" w:space="0" w:color="000000"/>
              <w:bottom w:val="single" w:sz="4" w:space="0" w:color="000000"/>
              <w:right w:val="single" w:sz="4" w:space="0" w:color="000000"/>
            </w:tcBorders>
            <w:vAlign w:val="center"/>
          </w:tcPr>
          <w:p w14:paraId="28AC56F8" w14:textId="22A3420F" w:rsidR="00591924" w:rsidRPr="00EB73F9" w:rsidRDefault="003040F3" w:rsidP="00A825B2">
            <w:pPr>
              <w:snapToGrid w:val="0"/>
              <w:rPr>
                <w:sz w:val="18"/>
              </w:rPr>
            </w:pPr>
            <w:r w:rsidRPr="00EB73F9">
              <w:rPr>
                <w:sz w:val="18"/>
              </w:rPr>
              <w:t>Discharge</w:t>
            </w:r>
            <w:r>
              <w:rPr>
                <w:sz w:val="18"/>
              </w:rPr>
              <w:t xml:space="preserve"> </w:t>
            </w:r>
            <w:r w:rsidRPr="00EB73F9">
              <w:rPr>
                <w:sz w:val="18"/>
              </w:rPr>
              <w:t>from</w:t>
            </w:r>
            <w:r>
              <w:rPr>
                <w:sz w:val="18"/>
              </w:rPr>
              <w:t xml:space="preserve"> </w:t>
            </w:r>
            <w:r w:rsidRPr="00EB73F9">
              <w:rPr>
                <w:sz w:val="18"/>
              </w:rPr>
              <w:t>steel/metal</w:t>
            </w:r>
            <w:r>
              <w:rPr>
                <w:sz w:val="18"/>
              </w:rPr>
              <w:t xml:space="preserve"> </w:t>
            </w:r>
            <w:r w:rsidRPr="00EB73F9">
              <w:rPr>
                <w:sz w:val="18"/>
              </w:rPr>
              <w:t>factories;</w:t>
            </w:r>
            <w:r>
              <w:rPr>
                <w:sz w:val="18"/>
              </w:rPr>
              <w:t xml:space="preserve"> </w:t>
            </w:r>
            <w:r w:rsidRPr="00EB73F9">
              <w:rPr>
                <w:sz w:val="18"/>
              </w:rPr>
              <w:t>discharge</w:t>
            </w:r>
            <w:r>
              <w:rPr>
                <w:sz w:val="18"/>
              </w:rPr>
              <w:t xml:space="preserve"> </w:t>
            </w:r>
            <w:r w:rsidRPr="00EB73F9">
              <w:rPr>
                <w:sz w:val="18"/>
              </w:rPr>
              <w:t>from</w:t>
            </w:r>
            <w:r>
              <w:rPr>
                <w:sz w:val="18"/>
              </w:rPr>
              <w:t xml:space="preserve"> </w:t>
            </w:r>
            <w:r w:rsidRPr="00EB73F9">
              <w:rPr>
                <w:sz w:val="18"/>
              </w:rPr>
              <w:t>plastic</w:t>
            </w:r>
            <w:r>
              <w:rPr>
                <w:sz w:val="18"/>
              </w:rPr>
              <w:t xml:space="preserve"> </w:t>
            </w:r>
            <w:r w:rsidRPr="00EB73F9">
              <w:rPr>
                <w:sz w:val="18"/>
              </w:rPr>
              <w:t>and</w:t>
            </w:r>
            <w:r>
              <w:rPr>
                <w:sz w:val="18"/>
              </w:rPr>
              <w:t xml:space="preserve"> </w:t>
            </w:r>
            <w:r w:rsidRPr="00EB73F9">
              <w:rPr>
                <w:sz w:val="18"/>
              </w:rPr>
              <w:t>fertilizer</w:t>
            </w:r>
            <w:r>
              <w:rPr>
                <w:sz w:val="18"/>
              </w:rPr>
              <w:t xml:space="preserve"> </w:t>
            </w:r>
            <w:r w:rsidRPr="00EB73F9">
              <w:rPr>
                <w:sz w:val="18"/>
              </w:rPr>
              <w:t>factories</w:t>
            </w:r>
          </w:p>
        </w:tc>
      </w:tr>
      <w:tr w:rsidR="00A825B2" w14:paraId="21EA8872" w14:textId="77777777" w:rsidTr="00AD7DB6">
        <w:trPr>
          <w:gridAfter w:val="1"/>
          <w:wAfter w:w="260" w:type="dxa"/>
          <w:cantSplit/>
          <w:trHeight w:val="890"/>
        </w:trPr>
        <w:tc>
          <w:tcPr>
            <w:tcW w:w="1452" w:type="dxa"/>
            <w:tcBorders>
              <w:top w:val="single" w:sz="4" w:space="0" w:color="000000"/>
              <w:left w:val="single" w:sz="4" w:space="0" w:color="000000"/>
              <w:bottom w:val="single" w:sz="4" w:space="0" w:color="000000"/>
              <w:right w:val="nil"/>
            </w:tcBorders>
            <w:vAlign w:val="center"/>
            <w:hideMark/>
          </w:tcPr>
          <w:p w14:paraId="6CD1AC7B" w14:textId="77777777" w:rsidR="00A825B2" w:rsidRDefault="00A825B2" w:rsidP="00A825B2">
            <w:pPr>
              <w:tabs>
                <w:tab w:val="left" w:pos="1050"/>
              </w:tabs>
              <w:snapToGrid w:val="0"/>
              <w:ind w:left="350" w:hanging="350"/>
              <w:rPr>
                <w:sz w:val="18"/>
              </w:rPr>
            </w:pPr>
            <w:r>
              <w:rPr>
                <w:sz w:val="18"/>
              </w:rPr>
              <w:t>Fluoride (ppm)</w:t>
            </w:r>
          </w:p>
        </w:tc>
        <w:tc>
          <w:tcPr>
            <w:tcW w:w="949" w:type="dxa"/>
            <w:tcBorders>
              <w:top w:val="single" w:sz="4" w:space="0" w:color="000000"/>
              <w:left w:val="single" w:sz="4" w:space="0" w:color="000000"/>
              <w:bottom w:val="single" w:sz="4" w:space="0" w:color="000000"/>
              <w:right w:val="nil"/>
            </w:tcBorders>
            <w:vAlign w:val="center"/>
            <w:hideMark/>
          </w:tcPr>
          <w:p w14:paraId="42D2CBB7" w14:textId="3969AB12" w:rsidR="00A825B2" w:rsidRDefault="00721E92" w:rsidP="00A825B2">
            <w:pPr>
              <w:snapToGrid w:val="0"/>
              <w:jc w:val="center"/>
              <w:rPr>
                <w:sz w:val="18"/>
              </w:rPr>
            </w:pPr>
            <w:r>
              <w:rPr>
                <w:sz w:val="18"/>
              </w:rPr>
              <w:t>11/21</w:t>
            </w:r>
          </w:p>
        </w:tc>
        <w:tc>
          <w:tcPr>
            <w:tcW w:w="847" w:type="dxa"/>
            <w:tcBorders>
              <w:top w:val="single" w:sz="4" w:space="0" w:color="000000"/>
              <w:left w:val="single" w:sz="4" w:space="0" w:color="000000"/>
              <w:bottom w:val="single" w:sz="4" w:space="0" w:color="000000"/>
              <w:right w:val="nil"/>
            </w:tcBorders>
            <w:vAlign w:val="center"/>
            <w:hideMark/>
          </w:tcPr>
          <w:p w14:paraId="2BDE0E03" w14:textId="77777777" w:rsidR="00A825B2" w:rsidRDefault="00A825B2" w:rsidP="00A825B2">
            <w:pPr>
              <w:snapToGrid w:val="0"/>
              <w:jc w:val="center"/>
              <w:rPr>
                <w:sz w:val="18"/>
              </w:rPr>
            </w:pPr>
            <w:r>
              <w:rPr>
                <w:sz w:val="18"/>
              </w:rPr>
              <w:t>N</w:t>
            </w:r>
          </w:p>
        </w:tc>
        <w:tc>
          <w:tcPr>
            <w:tcW w:w="1127" w:type="dxa"/>
            <w:tcBorders>
              <w:top w:val="single" w:sz="4" w:space="0" w:color="000000"/>
              <w:left w:val="single" w:sz="4" w:space="0" w:color="000000"/>
              <w:bottom w:val="single" w:sz="4" w:space="0" w:color="000000"/>
              <w:right w:val="nil"/>
            </w:tcBorders>
            <w:vAlign w:val="center"/>
            <w:hideMark/>
          </w:tcPr>
          <w:p w14:paraId="00CC5D77" w14:textId="278A8DEF" w:rsidR="00A825B2" w:rsidRDefault="00A825B2" w:rsidP="00A825B2">
            <w:pPr>
              <w:snapToGrid w:val="0"/>
              <w:jc w:val="center"/>
              <w:rPr>
                <w:sz w:val="18"/>
              </w:rPr>
            </w:pPr>
            <w:r>
              <w:rPr>
                <w:sz w:val="18"/>
              </w:rPr>
              <w:t>0.</w:t>
            </w:r>
            <w:r w:rsidR="00965995">
              <w:rPr>
                <w:sz w:val="18"/>
              </w:rPr>
              <w:t>186</w:t>
            </w:r>
          </w:p>
        </w:tc>
        <w:tc>
          <w:tcPr>
            <w:tcW w:w="684" w:type="dxa"/>
            <w:tcBorders>
              <w:top w:val="single" w:sz="4" w:space="0" w:color="000000"/>
              <w:left w:val="single" w:sz="4" w:space="0" w:color="000000"/>
              <w:bottom w:val="single" w:sz="4" w:space="0" w:color="000000"/>
              <w:right w:val="nil"/>
            </w:tcBorders>
            <w:vAlign w:val="center"/>
            <w:hideMark/>
          </w:tcPr>
          <w:p w14:paraId="3B2A3F93" w14:textId="77777777" w:rsidR="00A825B2" w:rsidRDefault="00A825B2" w:rsidP="00A825B2">
            <w:pPr>
              <w:snapToGrid w:val="0"/>
              <w:jc w:val="center"/>
              <w:rPr>
                <w:sz w:val="18"/>
              </w:rPr>
            </w:pPr>
            <w:r>
              <w:rPr>
                <w:sz w:val="18"/>
              </w:rPr>
              <w:t>N/A</w:t>
            </w:r>
          </w:p>
        </w:tc>
        <w:tc>
          <w:tcPr>
            <w:tcW w:w="2874" w:type="dxa"/>
            <w:tcBorders>
              <w:top w:val="single" w:sz="4" w:space="0" w:color="000000"/>
              <w:left w:val="single" w:sz="4" w:space="0" w:color="000000"/>
              <w:bottom w:val="single" w:sz="4" w:space="0" w:color="000000"/>
              <w:right w:val="nil"/>
            </w:tcBorders>
            <w:vAlign w:val="center"/>
            <w:hideMark/>
          </w:tcPr>
          <w:p w14:paraId="5ED5BDB9" w14:textId="77777777" w:rsidR="00A825B2" w:rsidRDefault="00A825B2" w:rsidP="00A825B2">
            <w:pPr>
              <w:snapToGrid w:val="0"/>
              <w:jc w:val="center"/>
              <w:rPr>
                <w:sz w:val="18"/>
              </w:rPr>
            </w:pPr>
            <w:r>
              <w:rPr>
                <w:sz w:val="18"/>
              </w:rPr>
              <w:t>4.0</w:t>
            </w:r>
          </w:p>
        </w:tc>
        <w:tc>
          <w:tcPr>
            <w:tcW w:w="523" w:type="dxa"/>
            <w:tcBorders>
              <w:top w:val="single" w:sz="4" w:space="0" w:color="000000"/>
              <w:left w:val="single" w:sz="4" w:space="0" w:color="000000"/>
              <w:bottom w:val="single" w:sz="4" w:space="0" w:color="000000"/>
              <w:right w:val="nil"/>
            </w:tcBorders>
            <w:vAlign w:val="center"/>
            <w:hideMark/>
          </w:tcPr>
          <w:p w14:paraId="48DC46E9" w14:textId="77777777" w:rsidR="00A825B2" w:rsidRDefault="00A825B2" w:rsidP="00A825B2">
            <w:pPr>
              <w:snapToGrid w:val="0"/>
              <w:jc w:val="center"/>
              <w:rPr>
                <w:sz w:val="18"/>
              </w:rPr>
            </w:pPr>
            <w:r>
              <w:rPr>
                <w:sz w:val="18"/>
              </w:rPr>
              <w:t>4.0</w:t>
            </w:r>
          </w:p>
        </w:tc>
        <w:tc>
          <w:tcPr>
            <w:tcW w:w="1989" w:type="dxa"/>
            <w:tcBorders>
              <w:top w:val="single" w:sz="4" w:space="0" w:color="000000"/>
              <w:left w:val="single" w:sz="4" w:space="0" w:color="000000"/>
              <w:bottom w:val="single" w:sz="4" w:space="0" w:color="000000"/>
              <w:right w:val="single" w:sz="4" w:space="0" w:color="000000"/>
            </w:tcBorders>
            <w:vAlign w:val="center"/>
            <w:hideMark/>
          </w:tcPr>
          <w:p w14:paraId="45993747" w14:textId="77777777" w:rsidR="00A825B2" w:rsidRDefault="00A825B2" w:rsidP="00A825B2">
            <w:pPr>
              <w:snapToGrid w:val="0"/>
              <w:rPr>
                <w:sz w:val="18"/>
              </w:rPr>
            </w:pPr>
            <w:r>
              <w:rPr>
                <w:sz w:val="18"/>
              </w:rPr>
              <w:t>Erosion of natural deposits, Discharge from fertilizer and aluminum factories. Water additive which promotes strong teeth when at optimum level of 0.7 ppm</w:t>
            </w:r>
          </w:p>
        </w:tc>
      </w:tr>
      <w:tr w:rsidR="002044DD" w14:paraId="1C11D164" w14:textId="77777777" w:rsidTr="00AD7DB6">
        <w:trPr>
          <w:gridAfter w:val="1"/>
          <w:wAfter w:w="260" w:type="dxa"/>
          <w:cantSplit/>
          <w:trHeight w:val="1142"/>
        </w:trPr>
        <w:tc>
          <w:tcPr>
            <w:tcW w:w="1452" w:type="dxa"/>
            <w:tcBorders>
              <w:top w:val="single" w:sz="4" w:space="0" w:color="000000"/>
              <w:left w:val="single" w:sz="4" w:space="0" w:color="000000"/>
              <w:bottom w:val="single" w:sz="4" w:space="0" w:color="000000"/>
              <w:right w:val="nil"/>
            </w:tcBorders>
            <w:vAlign w:val="center"/>
          </w:tcPr>
          <w:p w14:paraId="298F56CC" w14:textId="3455FA7C" w:rsidR="002044DD" w:rsidRDefault="00CE39E6" w:rsidP="00571F82">
            <w:pPr>
              <w:tabs>
                <w:tab w:val="left" w:pos="1050"/>
              </w:tabs>
              <w:snapToGrid w:val="0"/>
              <w:ind w:left="350" w:hanging="350"/>
              <w:rPr>
                <w:sz w:val="18"/>
              </w:rPr>
            </w:pPr>
            <w:r w:rsidRPr="00EB73F9">
              <w:rPr>
                <w:sz w:val="18"/>
              </w:rPr>
              <w:t>Nitrate</w:t>
            </w:r>
            <w:r>
              <w:rPr>
                <w:sz w:val="18"/>
              </w:rPr>
              <w:t xml:space="preserve"> </w:t>
            </w:r>
            <w:r w:rsidRPr="00EB73F9">
              <w:rPr>
                <w:sz w:val="18"/>
              </w:rPr>
              <w:t>(as</w:t>
            </w:r>
            <w:r>
              <w:rPr>
                <w:sz w:val="18"/>
              </w:rPr>
              <w:t xml:space="preserve"> </w:t>
            </w:r>
            <w:r w:rsidRPr="00EB73F9">
              <w:rPr>
                <w:sz w:val="18"/>
              </w:rPr>
              <w:t>Nitrogen)</w:t>
            </w:r>
            <w:r>
              <w:rPr>
                <w:sz w:val="18"/>
              </w:rPr>
              <w:t xml:space="preserve"> </w:t>
            </w:r>
            <w:r w:rsidRPr="00EB73F9">
              <w:rPr>
                <w:sz w:val="18"/>
              </w:rPr>
              <w:t>(ppm)</w:t>
            </w:r>
          </w:p>
        </w:tc>
        <w:tc>
          <w:tcPr>
            <w:tcW w:w="949" w:type="dxa"/>
            <w:tcBorders>
              <w:top w:val="single" w:sz="4" w:space="0" w:color="000000"/>
              <w:left w:val="single" w:sz="4" w:space="0" w:color="000000"/>
              <w:bottom w:val="single" w:sz="4" w:space="0" w:color="000000"/>
              <w:right w:val="nil"/>
            </w:tcBorders>
            <w:vAlign w:val="center"/>
          </w:tcPr>
          <w:p w14:paraId="7B018E99" w14:textId="4A08D680" w:rsidR="002044DD" w:rsidRDefault="00EA1F6A" w:rsidP="00A825B2">
            <w:pPr>
              <w:snapToGrid w:val="0"/>
              <w:jc w:val="center"/>
              <w:rPr>
                <w:sz w:val="18"/>
              </w:rPr>
            </w:pPr>
            <w:r>
              <w:rPr>
                <w:sz w:val="18"/>
              </w:rPr>
              <w:t>11</w:t>
            </w:r>
            <w:r w:rsidR="00E76AE4">
              <w:rPr>
                <w:sz w:val="18"/>
              </w:rPr>
              <w:t>/21</w:t>
            </w:r>
          </w:p>
        </w:tc>
        <w:tc>
          <w:tcPr>
            <w:tcW w:w="847" w:type="dxa"/>
            <w:tcBorders>
              <w:top w:val="single" w:sz="4" w:space="0" w:color="000000"/>
              <w:left w:val="single" w:sz="4" w:space="0" w:color="000000"/>
              <w:bottom w:val="single" w:sz="4" w:space="0" w:color="000000"/>
              <w:right w:val="nil"/>
            </w:tcBorders>
            <w:vAlign w:val="center"/>
          </w:tcPr>
          <w:p w14:paraId="05C87028" w14:textId="7276C7AB" w:rsidR="002044DD" w:rsidRDefault="004E2B07" w:rsidP="00A825B2">
            <w:pPr>
              <w:snapToGrid w:val="0"/>
              <w:jc w:val="center"/>
              <w:rPr>
                <w:sz w:val="18"/>
              </w:rPr>
            </w:pPr>
            <w:r>
              <w:rPr>
                <w:sz w:val="18"/>
              </w:rPr>
              <w:t>N</w:t>
            </w:r>
          </w:p>
        </w:tc>
        <w:tc>
          <w:tcPr>
            <w:tcW w:w="1127" w:type="dxa"/>
            <w:tcBorders>
              <w:top w:val="single" w:sz="4" w:space="0" w:color="000000"/>
              <w:left w:val="single" w:sz="4" w:space="0" w:color="000000"/>
              <w:bottom w:val="single" w:sz="4" w:space="0" w:color="000000"/>
              <w:right w:val="nil"/>
            </w:tcBorders>
            <w:vAlign w:val="center"/>
          </w:tcPr>
          <w:p w14:paraId="758369A6" w14:textId="2488B29D" w:rsidR="002044DD" w:rsidRDefault="003835A3" w:rsidP="00A825B2">
            <w:pPr>
              <w:snapToGrid w:val="0"/>
              <w:jc w:val="center"/>
              <w:rPr>
                <w:sz w:val="18"/>
              </w:rPr>
            </w:pPr>
            <w:r>
              <w:rPr>
                <w:sz w:val="18"/>
              </w:rPr>
              <w:t>0.0420</w:t>
            </w:r>
          </w:p>
        </w:tc>
        <w:tc>
          <w:tcPr>
            <w:tcW w:w="684" w:type="dxa"/>
            <w:tcBorders>
              <w:top w:val="single" w:sz="4" w:space="0" w:color="000000"/>
              <w:left w:val="single" w:sz="4" w:space="0" w:color="000000"/>
              <w:bottom w:val="single" w:sz="4" w:space="0" w:color="000000"/>
              <w:right w:val="nil"/>
            </w:tcBorders>
            <w:vAlign w:val="center"/>
          </w:tcPr>
          <w:p w14:paraId="4D78EB35" w14:textId="3DFA7DB2" w:rsidR="002044DD" w:rsidRDefault="001549CA" w:rsidP="00A825B2">
            <w:pPr>
              <w:snapToGrid w:val="0"/>
              <w:jc w:val="center"/>
              <w:rPr>
                <w:sz w:val="18"/>
              </w:rPr>
            </w:pPr>
            <w:r>
              <w:rPr>
                <w:sz w:val="18"/>
              </w:rPr>
              <w:t>N</w:t>
            </w:r>
            <w:r w:rsidR="00CD7FD1">
              <w:rPr>
                <w:sz w:val="18"/>
              </w:rPr>
              <w:t>/A</w:t>
            </w:r>
          </w:p>
        </w:tc>
        <w:tc>
          <w:tcPr>
            <w:tcW w:w="2874" w:type="dxa"/>
            <w:tcBorders>
              <w:top w:val="single" w:sz="4" w:space="0" w:color="000000"/>
              <w:left w:val="single" w:sz="4" w:space="0" w:color="000000"/>
              <w:bottom w:val="single" w:sz="4" w:space="0" w:color="000000"/>
              <w:right w:val="nil"/>
            </w:tcBorders>
            <w:vAlign w:val="center"/>
          </w:tcPr>
          <w:p w14:paraId="32E42B4B" w14:textId="43639E94" w:rsidR="002044DD" w:rsidRDefault="003835A3" w:rsidP="00A825B2">
            <w:pPr>
              <w:snapToGrid w:val="0"/>
              <w:jc w:val="center"/>
              <w:rPr>
                <w:sz w:val="18"/>
              </w:rPr>
            </w:pPr>
            <w:r>
              <w:rPr>
                <w:sz w:val="18"/>
              </w:rPr>
              <w:t>10</w:t>
            </w:r>
          </w:p>
        </w:tc>
        <w:tc>
          <w:tcPr>
            <w:tcW w:w="523" w:type="dxa"/>
            <w:tcBorders>
              <w:top w:val="single" w:sz="4" w:space="0" w:color="000000"/>
              <w:left w:val="single" w:sz="4" w:space="0" w:color="000000"/>
              <w:bottom w:val="single" w:sz="4" w:space="0" w:color="000000"/>
              <w:right w:val="nil"/>
            </w:tcBorders>
            <w:vAlign w:val="center"/>
          </w:tcPr>
          <w:p w14:paraId="765DAA52" w14:textId="3409DE4D" w:rsidR="002044DD" w:rsidRDefault="003835A3" w:rsidP="00A825B2">
            <w:pPr>
              <w:snapToGrid w:val="0"/>
              <w:jc w:val="center"/>
              <w:rPr>
                <w:sz w:val="18"/>
              </w:rPr>
            </w:pPr>
            <w:r>
              <w:rPr>
                <w:sz w:val="18"/>
              </w:rPr>
              <w:t>10</w:t>
            </w:r>
          </w:p>
        </w:tc>
        <w:tc>
          <w:tcPr>
            <w:tcW w:w="1989" w:type="dxa"/>
            <w:tcBorders>
              <w:top w:val="single" w:sz="4" w:space="0" w:color="000000"/>
              <w:left w:val="single" w:sz="4" w:space="0" w:color="000000"/>
              <w:bottom w:val="single" w:sz="4" w:space="0" w:color="000000"/>
              <w:right w:val="single" w:sz="4" w:space="0" w:color="000000"/>
            </w:tcBorders>
            <w:vAlign w:val="center"/>
          </w:tcPr>
          <w:p w14:paraId="025BEFF9" w14:textId="5A3448F4" w:rsidR="002044DD" w:rsidRPr="00E87E2D" w:rsidRDefault="00506CBA" w:rsidP="00A825B2">
            <w:pPr>
              <w:snapToGrid w:val="0"/>
              <w:rPr>
                <w:sz w:val="18"/>
                <w:szCs w:val="18"/>
              </w:rPr>
            </w:pPr>
            <w:r w:rsidRPr="00EB73F9">
              <w:rPr>
                <w:sz w:val="18"/>
              </w:rPr>
              <w:t>Runoff</w:t>
            </w:r>
            <w:r>
              <w:rPr>
                <w:sz w:val="18"/>
              </w:rPr>
              <w:t xml:space="preserve"> </w:t>
            </w:r>
            <w:r w:rsidRPr="00EB73F9">
              <w:rPr>
                <w:sz w:val="18"/>
              </w:rPr>
              <w:t>from</w:t>
            </w:r>
            <w:r>
              <w:rPr>
                <w:sz w:val="18"/>
              </w:rPr>
              <w:t xml:space="preserve"> </w:t>
            </w:r>
            <w:r w:rsidRPr="00EB73F9">
              <w:rPr>
                <w:sz w:val="18"/>
              </w:rPr>
              <w:t>fertilizer</w:t>
            </w:r>
            <w:r>
              <w:rPr>
                <w:sz w:val="18"/>
              </w:rPr>
              <w:t xml:space="preserve"> </w:t>
            </w:r>
            <w:r w:rsidRPr="00EB73F9">
              <w:rPr>
                <w:sz w:val="18"/>
              </w:rPr>
              <w:t>use;</w:t>
            </w:r>
            <w:r>
              <w:rPr>
                <w:sz w:val="18"/>
              </w:rPr>
              <w:t xml:space="preserve"> </w:t>
            </w:r>
            <w:r w:rsidRPr="00EB73F9">
              <w:rPr>
                <w:sz w:val="18"/>
              </w:rPr>
              <w:t>leaching</w:t>
            </w:r>
            <w:r>
              <w:rPr>
                <w:sz w:val="18"/>
              </w:rPr>
              <w:t xml:space="preserve"> </w:t>
            </w:r>
            <w:r w:rsidRPr="00EB73F9">
              <w:rPr>
                <w:sz w:val="18"/>
              </w:rPr>
              <w:t>from</w:t>
            </w:r>
            <w:r>
              <w:rPr>
                <w:sz w:val="18"/>
              </w:rPr>
              <w:t xml:space="preserve"> </w:t>
            </w:r>
            <w:r w:rsidRPr="00EB73F9">
              <w:rPr>
                <w:sz w:val="18"/>
              </w:rPr>
              <w:t>septic</w:t>
            </w:r>
            <w:r>
              <w:rPr>
                <w:sz w:val="18"/>
              </w:rPr>
              <w:t xml:space="preserve"> </w:t>
            </w:r>
            <w:r w:rsidRPr="00EB73F9">
              <w:rPr>
                <w:sz w:val="18"/>
              </w:rPr>
              <w:t>tanks,</w:t>
            </w:r>
            <w:r>
              <w:rPr>
                <w:sz w:val="18"/>
              </w:rPr>
              <w:t xml:space="preserve"> </w:t>
            </w:r>
            <w:r w:rsidRPr="00EB73F9">
              <w:rPr>
                <w:sz w:val="18"/>
              </w:rPr>
              <w:t>sewage;</w:t>
            </w:r>
            <w:r>
              <w:rPr>
                <w:sz w:val="18"/>
              </w:rPr>
              <w:t xml:space="preserve"> </w:t>
            </w:r>
            <w:r w:rsidRPr="00EB73F9">
              <w:rPr>
                <w:sz w:val="18"/>
              </w:rPr>
              <w:t>erosion</w:t>
            </w:r>
            <w:r>
              <w:rPr>
                <w:sz w:val="18"/>
              </w:rPr>
              <w:t xml:space="preserve"> </w:t>
            </w:r>
            <w:r w:rsidRPr="00EB73F9">
              <w:rPr>
                <w:sz w:val="18"/>
              </w:rPr>
              <w:t>of</w:t>
            </w:r>
            <w:r>
              <w:rPr>
                <w:sz w:val="18"/>
              </w:rPr>
              <w:t xml:space="preserve"> </w:t>
            </w:r>
            <w:r w:rsidRPr="00EB73F9">
              <w:rPr>
                <w:sz w:val="18"/>
              </w:rPr>
              <w:t>natural</w:t>
            </w:r>
            <w:r>
              <w:rPr>
                <w:sz w:val="18"/>
              </w:rPr>
              <w:t xml:space="preserve"> </w:t>
            </w:r>
            <w:r w:rsidRPr="00EB73F9">
              <w:rPr>
                <w:sz w:val="18"/>
              </w:rPr>
              <w:t>deposits</w:t>
            </w:r>
          </w:p>
        </w:tc>
      </w:tr>
      <w:tr w:rsidR="000B2F3F" w14:paraId="38BBD3DA" w14:textId="77777777" w:rsidTr="00AD7DB6">
        <w:trPr>
          <w:gridAfter w:val="1"/>
          <w:wAfter w:w="260" w:type="dxa"/>
          <w:cantSplit/>
          <w:trHeight w:val="1142"/>
        </w:trPr>
        <w:tc>
          <w:tcPr>
            <w:tcW w:w="1452" w:type="dxa"/>
            <w:tcBorders>
              <w:top w:val="single" w:sz="4" w:space="0" w:color="000000"/>
              <w:left w:val="single" w:sz="4" w:space="0" w:color="000000"/>
              <w:bottom w:val="single" w:sz="4" w:space="0" w:color="000000"/>
              <w:right w:val="nil"/>
            </w:tcBorders>
            <w:vAlign w:val="center"/>
          </w:tcPr>
          <w:p w14:paraId="4E02382B" w14:textId="7DB8C5CE" w:rsidR="000B2F3F" w:rsidRDefault="003040F3" w:rsidP="00F67F03">
            <w:pPr>
              <w:tabs>
                <w:tab w:val="left" w:pos="1050"/>
              </w:tabs>
              <w:snapToGrid w:val="0"/>
              <w:ind w:left="350" w:hanging="350"/>
              <w:rPr>
                <w:sz w:val="18"/>
              </w:rPr>
            </w:pPr>
            <w:r>
              <w:rPr>
                <w:sz w:val="18"/>
              </w:rPr>
              <w:t>Sodium (ppm)</w:t>
            </w:r>
          </w:p>
        </w:tc>
        <w:tc>
          <w:tcPr>
            <w:tcW w:w="949" w:type="dxa"/>
            <w:tcBorders>
              <w:top w:val="single" w:sz="4" w:space="0" w:color="000000"/>
              <w:left w:val="single" w:sz="4" w:space="0" w:color="000000"/>
              <w:bottom w:val="single" w:sz="4" w:space="0" w:color="000000"/>
              <w:right w:val="nil"/>
            </w:tcBorders>
            <w:vAlign w:val="center"/>
          </w:tcPr>
          <w:p w14:paraId="4631A4CF" w14:textId="599ABE97" w:rsidR="000B2F3F" w:rsidRDefault="005F6A3F" w:rsidP="00A825B2">
            <w:pPr>
              <w:snapToGrid w:val="0"/>
              <w:jc w:val="center"/>
              <w:rPr>
                <w:sz w:val="18"/>
              </w:rPr>
            </w:pPr>
            <w:r>
              <w:rPr>
                <w:sz w:val="18"/>
              </w:rPr>
              <w:t>11</w:t>
            </w:r>
            <w:r w:rsidR="00F67F03">
              <w:rPr>
                <w:sz w:val="18"/>
              </w:rPr>
              <w:t>/21</w:t>
            </w:r>
          </w:p>
        </w:tc>
        <w:tc>
          <w:tcPr>
            <w:tcW w:w="847" w:type="dxa"/>
            <w:tcBorders>
              <w:top w:val="single" w:sz="4" w:space="0" w:color="000000"/>
              <w:left w:val="single" w:sz="4" w:space="0" w:color="000000"/>
              <w:bottom w:val="single" w:sz="4" w:space="0" w:color="000000"/>
              <w:right w:val="nil"/>
            </w:tcBorders>
            <w:vAlign w:val="center"/>
          </w:tcPr>
          <w:p w14:paraId="798C7535" w14:textId="09983F44" w:rsidR="000B2F3F" w:rsidRDefault="00F67F03" w:rsidP="00A825B2">
            <w:pPr>
              <w:snapToGrid w:val="0"/>
              <w:jc w:val="center"/>
              <w:rPr>
                <w:sz w:val="18"/>
              </w:rPr>
            </w:pPr>
            <w:r>
              <w:rPr>
                <w:sz w:val="18"/>
              </w:rPr>
              <w:t>N</w:t>
            </w:r>
          </w:p>
        </w:tc>
        <w:tc>
          <w:tcPr>
            <w:tcW w:w="1127" w:type="dxa"/>
            <w:tcBorders>
              <w:top w:val="single" w:sz="4" w:space="0" w:color="000000"/>
              <w:left w:val="single" w:sz="4" w:space="0" w:color="000000"/>
              <w:bottom w:val="single" w:sz="4" w:space="0" w:color="000000"/>
              <w:right w:val="nil"/>
            </w:tcBorders>
            <w:vAlign w:val="center"/>
          </w:tcPr>
          <w:p w14:paraId="1C79748F" w14:textId="18EDFF39" w:rsidR="000B2F3F" w:rsidRDefault="003040F3" w:rsidP="00A825B2">
            <w:pPr>
              <w:snapToGrid w:val="0"/>
              <w:jc w:val="center"/>
              <w:rPr>
                <w:sz w:val="18"/>
              </w:rPr>
            </w:pPr>
            <w:r>
              <w:rPr>
                <w:sz w:val="18"/>
              </w:rPr>
              <w:t>12.5</w:t>
            </w:r>
          </w:p>
        </w:tc>
        <w:tc>
          <w:tcPr>
            <w:tcW w:w="684" w:type="dxa"/>
            <w:tcBorders>
              <w:top w:val="single" w:sz="4" w:space="0" w:color="000000"/>
              <w:left w:val="single" w:sz="4" w:space="0" w:color="000000"/>
              <w:bottom w:val="single" w:sz="4" w:space="0" w:color="000000"/>
              <w:right w:val="nil"/>
            </w:tcBorders>
            <w:vAlign w:val="center"/>
          </w:tcPr>
          <w:p w14:paraId="7A7940A0" w14:textId="3D319F0D" w:rsidR="000B2F3F" w:rsidRDefault="00F67F03" w:rsidP="00A825B2">
            <w:pPr>
              <w:snapToGrid w:val="0"/>
              <w:jc w:val="center"/>
              <w:rPr>
                <w:sz w:val="18"/>
              </w:rPr>
            </w:pPr>
            <w:r>
              <w:rPr>
                <w:sz w:val="18"/>
              </w:rPr>
              <w:t>N</w:t>
            </w:r>
            <w:r w:rsidR="00CF6AD0">
              <w:rPr>
                <w:sz w:val="18"/>
              </w:rPr>
              <w:t>/A</w:t>
            </w:r>
          </w:p>
        </w:tc>
        <w:tc>
          <w:tcPr>
            <w:tcW w:w="2874" w:type="dxa"/>
            <w:tcBorders>
              <w:top w:val="single" w:sz="4" w:space="0" w:color="000000"/>
              <w:left w:val="single" w:sz="4" w:space="0" w:color="000000"/>
              <w:bottom w:val="single" w:sz="4" w:space="0" w:color="000000"/>
              <w:right w:val="nil"/>
            </w:tcBorders>
            <w:vAlign w:val="center"/>
          </w:tcPr>
          <w:p w14:paraId="18B1408D" w14:textId="59205B7E" w:rsidR="000B2F3F" w:rsidRDefault="003040F3" w:rsidP="00A825B2">
            <w:pPr>
              <w:snapToGrid w:val="0"/>
              <w:jc w:val="center"/>
              <w:rPr>
                <w:sz w:val="18"/>
              </w:rPr>
            </w:pPr>
            <w:r>
              <w:rPr>
                <w:sz w:val="18"/>
              </w:rPr>
              <w:t>N/A</w:t>
            </w:r>
          </w:p>
        </w:tc>
        <w:tc>
          <w:tcPr>
            <w:tcW w:w="523" w:type="dxa"/>
            <w:tcBorders>
              <w:top w:val="single" w:sz="4" w:space="0" w:color="000000"/>
              <w:left w:val="single" w:sz="4" w:space="0" w:color="000000"/>
              <w:bottom w:val="single" w:sz="4" w:space="0" w:color="000000"/>
              <w:right w:val="nil"/>
            </w:tcBorders>
            <w:vAlign w:val="center"/>
          </w:tcPr>
          <w:p w14:paraId="63060F9A" w14:textId="5EFC23CF" w:rsidR="000B2F3F" w:rsidRDefault="003040F3" w:rsidP="00A825B2">
            <w:pPr>
              <w:snapToGrid w:val="0"/>
              <w:jc w:val="center"/>
              <w:rPr>
                <w:sz w:val="18"/>
              </w:rPr>
            </w:pPr>
            <w:r>
              <w:rPr>
                <w:sz w:val="18"/>
              </w:rPr>
              <w:t>160</w:t>
            </w:r>
          </w:p>
        </w:tc>
        <w:tc>
          <w:tcPr>
            <w:tcW w:w="1989" w:type="dxa"/>
            <w:tcBorders>
              <w:top w:val="single" w:sz="4" w:space="0" w:color="000000"/>
              <w:left w:val="single" w:sz="4" w:space="0" w:color="000000"/>
              <w:bottom w:val="single" w:sz="4" w:space="0" w:color="000000"/>
              <w:right w:val="single" w:sz="4" w:space="0" w:color="000000"/>
            </w:tcBorders>
            <w:vAlign w:val="center"/>
          </w:tcPr>
          <w:p w14:paraId="7A91717D" w14:textId="1DC4D90D" w:rsidR="000B2F3F" w:rsidRPr="00E87E2D" w:rsidRDefault="006D0021" w:rsidP="00A825B2">
            <w:pPr>
              <w:snapToGrid w:val="0"/>
              <w:rPr>
                <w:color w:val="000000"/>
                <w:sz w:val="18"/>
                <w:szCs w:val="18"/>
              </w:rPr>
            </w:pPr>
            <w:r>
              <w:rPr>
                <w:sz w:val="18"/>
              </w:rPr>
              <w:t>Saltwater intrusion, leaching from soil</w:t>
            </w:r>
          </w:p>
        </w:tc>
      </w:tr>
    </w:tbl>
    <w:p w14:paraId="4AE55F09" w14:textId="77777777" w:rsidR="00DE1CA0" w:rsidRDefault="00DE1CA0" w:rsidP="00DE1CA0">
      <w:pPr>
        <w:keepNext/>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b/>
          <w:sz w:val="32"/>
          <w:u w:val="single"/>
        </w:rPr>
      </w:pPr>
    </w:p>
    <w:tbl>
      <w:tblPr>
        <w:tblpPr w:leftFromText="180" w:rightFromText="180" w:vertAnchor="page" w:horzAnchor="margin" w:tblpX="-275" w:tblpY="7891"/>
        <w:tblW w:w="10435" w:type="dxa"/>
        <w:tblLayout w:type="fixed"/>
        <w:tblCellMar>
          <w:left w:w="100" w:type="dxa"/>
          <w:right w:w="100" w:type="dxa"/>
        </w:tblCellMar>
        <w:tblLook w:val="04A0" w:firstRow="1" w:lastRow="0" w:firstColumn="1" w:lastColumn="0" w:noHBand="0" w:noVBand="1"/>
      </w:tblPr>
      <w:tblGrid>
        <w:gridCol w:w="2391"/>
        <w:gridCol w:w="990"/>
        <w:gridCol w:w="990"/>
        <w:gridCol w:w="900"/>
        <w:gridCol w:w="1034"/>
        <w:gridCol w:w="1170"/>
        <w:gridCol w:w="1080"/>
        <w:gridCol w:w="1880"/>
      </w:tblGrid>
      <w:tr w:rsidR="00AD7DB6" w14:paraId="12008A17" w14:textId="77777777" w:rsidTr="00AD7DB6">
        <w:trPr>
          <w:cantSplit/>
          <w:trHeight w:val="403"/>
        </w:trPr>
        <w:tc>
          <w:tcPr>
            <w:tcW w:w="10435" w:type="dxa"/>
            <w:gridSpan w:val="8"/>
            <w:tcBorders>
              <w:top w:val="single" w:sz="4" w:space="0" w:color="000000"/>
              <w:left w:val="single" w:sz="4" w:space="0" w:color="000000"/>
              <w:bottom w:val="single" w:sz="4" w:space="0" w:color="000000"/>
              <w:right w:val="single" w:sz="4" w:space="0" w:color="000000"/>
            </w:tcBorders>
            <w:vAlign w:val="center"/>
            <w:hideMark/>
          </w:tcPr>
          <w:p w14:paraId="674D0D35" w14:textId="77777777" w:rsidR="00AD7DB6" w:rsidRDefault="00AD7DB6" w:rsidP="00AD7DB6">
            <w:pPr>
              <w:snapToGrid w:val="0"/>
              <w:rPr>
                <w:b/>
                <w:bCs/>
                <w:sz w:val="28"/>
                <w:szCs w:val="28"/>
              </w:rPr>
            </w:pPr>
            <w:r>
              <w:rPr>
                <w:b/>
                <w:bCs/>
                <w:sz w:val="28"/>
                <w:szCs w:val="28"/>
              </w:rPr>
              <w:lastRenderedPageBreak/>
              <w:t>Stage 2 Disinfectants and Disinfection By-Products</w:t>
            </w:r>
          </w:p>
        </w:tc>
      </w:tr>
      <w:tr w:rsidR="00AD7DB6" w14:paraId="1284FA6E" w14:textId="77777777" w:rsidTr="00AD7DB6">
        <w:trPr>
          <w:cantSplit/>
          <w:trHeight w:val="1193"/>
        </w:trPr>
        <w:tc>
          <w:tcPr>
            <w:tcW w:w="2391" w:type="dxa"/>
            <w:tcBorders>
              <w:top w:val="single" w:sz="4" w:space="0" w:color="000000"/>
              <w:left w:val="single" w:sz="4" w:space="0" w:color="000000"/>
              <w:bottom w:val="single" w:sz="4" w:space="0" w:color="000000"/>
              <w:right w:val="nil"/>
            </w:tcBorders>
            <w:vAlign w:val="center"/>
            <w:hideMark/>
          </w:tcPr>
          <w:p w14:paraId="39BE540C" w14:textId="77777777" w:rsidR="00AD7DB6" w:rsidRDefault="00AD7DB6" w:rsidP="00AD7DB6">
            <w:pPr>
              <w:snapToGrid w:val="0"/>
              <w:rPr>
                <w:b/>
                <w:sz w:val="18"/>
              </w:rPr>
            </w:pPr>
            <w:r>
              <w:rPr>
                <w:b/>
                <w:sz w:val="18"/>
              </w:rPr>
              <w:t>Contaminant and Unit of Measurement</w:t>
            </w:r>
          </w:p>
        </w:tc>
        <w:tc>
          <w:tcPr>
            <w:tcW w:w="990" w:type="dxa"/>
            <w:tcBorders>
              <w:top w:val="single" w:sz="4" w:space="0" w:color="000000"/>
              <w:left w:val="single" w:sz="4" w:space="0" w:color="000000"/>
              <w:bottom w:val="single" w:sz="4" w:space="0" w:color="000000"/>
              <w:right w:val="nil"/>
            </w:tcBorders>
            <w:vAlign w:val="center"/>
            <w:hideMark/>
          </w:tcPr>
          <w:p w14:paraId="55AB12F8" w14:textId="77777777" w:rsidR="00AD7DB6" w:rsidRDefault="00AD7DB6" w:rsidP="00AD7DB6">
            <w:pPr>
              <w:snapToGrid w:val="0"/>
              <w:jc w:val="center"/>
              <w:rPr>
                <w:b/>
                <w:sz w:val="18"/>
              </w:rPr>
            </w:pPr>
            <w:r>
              <w:rPr>
                <w:b/>
                <w:sz w:val="18"/>
              </w:rPr>
              <w:t>Dates of sampling (mo./yr.)</w:t>
            </w:r>
          </w:p>
        </w:tc>
        <w:tc>
          <w:tcPr>
            <w:tcW w:w="990" w:type="dxa"/>
            <w:tcBorders>
              <w:top w:val="single" w:sz="4" w:space="0" w:color="000000"/>
              <w:left w:val="single" w:sz="4" w:space="0" w:color="000000"/>
              <w:bottom w:val="single" w:sz="4" w:space="0" w:color="000000"/>
              <w:right w:val="nil"/>
            </w:tcBorders>
            <w:vAlign w:val="center"/>
            <w:hideMark/>
          </w:tcPr>
          <w:p w14:paraId="1F03A04B" w14:textId="77777777" w:rsidR="00AD7DB6" w:rsidRDefault="00AD7DB6" w:rsidP="00AD7DB6">
            <w:pPr>
              <w:snapToGrid w:val="0"/>
              <w:jc w:val="center"/>
              <w:rPr>
                <w:b/>
                <w:sz w:val="18"/>
              </w:rPr>
            </w:pPr>
            <w:r>
              <w:rPr>
                <w:b/>
                <w:sz w:val="18"/>
              </w:rPr>
              <w:t>MCL Violation Y/N</w:t>
            </w:r>
          </w:p>
        </w:tc>
        <w:tc>
          <w:tcPr>
            <w:tcW w:w="900" w:type="dxa"/>
            <w:tcBorders>
              <w:top w:val="single" w:sz="4" w:space="0" w:color="000000"/>
              <w:left w:val="single" w:sz="4" w:space="0" w:color="000000"/>
              <w:bottom w:val="single" w:sz="4" w:space="0" w:color="000000"/>
              <w:right w:val="nil"/>
            </w:tcBorders>
            <w:vAlign w:val="center"/>
            <w:hideMark/>
          </w:tcPr>
          <w:p w14:paraId="69291BCF" w14:textId="77777777" w:rsidR="00AD7DB6" w:rsidRDefault="00AD7DB6" w:rsidP="00AD7DB6">
            <w:pPr>
              <w:snapToGrid w:val="0"/>
              <w:jc w:val="center"/>
              <w:rPr>
                <w:b/>
                <w:sz w:val="18"/>
              </w:rPr>
            </w:pPr>
            <w:r>
              <w:rPr>
                <w:b/>
                <w:sz w:val="18"/>
              </w:rPr>
              <w:t>Level Detected</w:t>
            </w:r>
          </w:p>
        </w:tc>
        <w:tc>
          <w:tcPr>
            <w:tcW w:w="1034" w:type="dxa"/>
            <w:tcBorders>
              <w:top w:val="single" w:sz="4" w:space="0" w:color="000000"/>
              <w:left w:val="single" w:sz="4" w:space="0" w:color="000000"/>
              <w:bottom w:val="single" w:sz="4" w:space="0" w:color="000000"/>
              <w:right w:val="nil"/>
            </w:tcBorders>
            <w:vAlign w:val="center"/>
            <w:hideMark/>
          </w:tcPr>
          <w:p w14:paraId="691CC7BD" w14:textId="77777777" w:rsidR="00AD7DB6" w:rsidRDefault="00AD7DB6" w:rsidP="00AD7DB6">
            <w:pPr>
              <w:snapToGrid w:val="0"/>
              <w:jc w:val="center"/>
              <w:rPr>
                <w:b/>
                <w:sz w:val="18"/>
              </w:rPr>
            </w:pPr>
            <w:r>
              <w:rPr>
                <w:b/>
                <w:sz w:val="18"/>
              </w:rPr>
              <w:t>Range of Results</w:t>
            </w:r>
          </w:p>
        </w:tc>
        <w:tc>
          <w:tcPr>
            <w:tcW w:w="1170" w:type="dxa"/>
            <w:tcBorders>
              <w:top w:val="single" w:sz="4" w:space="0" w:color="000000"/>
              <w:left w:val="single" w:sz="4" w:space="0" w:color="000000"/>
              <w:bottom w:val="single" w:sz="4" w:space="0" w:color="000000"/>
              <w:right w:val="nil"/>
            </w:tcBorders>
            <w:vAlign w:val="center"/>
            <w:hideMark/>
          </w:tcPr>
          <w:p w14:paraId="10277AF3" w14:textId="77777777" w:rsidR="00AD7DB6" w:rsidRDefault="00AD7DB6" w:rsidP="00AD7DB6">
            <w:pPr>
              <w:snapToGrid w:val="0"/>
              <w:jc w:val="center"/>
              <w:rPr>
                <w:b/>
                <w:sz w:val="16"/>
              </w:rPr>
            </w:pPr>
            <w:r>
              <w:rPr>
                <w:b/>
                <w:sz w:val="16"/>
              </w:rPr>
              <w:t>MCLG</w:t>
            </w:r>
          </w:p>
        </w:tc>
        <w:tc>
          <w:tcPr>
            <w:tcW w:w="1080" w:type="dxa"/>
            <w:tcBorders>
              <w:top w:val="single" w:sz="4" w:space="0" w:color="000000"/>
              <w:left w:val="single" w:sz="4" w:space="0" w:color="000000"/>
              <w:bottom w:val="single" w:sz="4" w:space="0" w:color="000000"/>
              <w:right w:val="nil"/>
            </w:tcBorders>
            <w:vAlign w:val="center"/>
            <w:hideMark/>
          </w:tcPr>
          <w:p w14:paraId="55A47539" w14:textId="77777777" w:rsidR="00AD7DB6" w:rsidRDefault="00AD7DB6" w:rsidP="00AD7DB6">
            <w:pPr>
              <w:snapToGrid w:val="0"/>
              <w:jc w:val="center"/>
              <w:rPr>
                <w:b/>
                <w:sz w:val="18"/>
              </w:rPr>
            </w:pPr>
            <w:r>
              <w:rPr>
                <w:b/>
                <w:sz w:val="18"/>
              </w:rPr>
              <w:t>MCL</w:t>
            </w:r>
          </w:p>
        </w:tc>
        <w:tc>
          <w:tcPr>
            <w:tcW w:w="1880" w:type="dxa"/>
            <w:tcBorders>
              <w:top w:val="single" w:sz="4" w:space="0" w:color="000000"/>
              <w:left w:val="single" w:sz="4" w:space="0" w:color="000000"/>
              <w:bottom w:val="single" w:sz="4" w:space="0" w:color="000000"/>
              <w:right w:val="single" w:sz="4" w:space="0" w:color="000000"/>
            </w:tcBorders>
            <w:vAlign w:val="center"/>
            <w:hideMark/>
          </w:tcPr>
          <w:p w14:paraId="2131E759" w14:textId="77777777" w:rsidR="00AD7DB6" w:rsidRDefault="00AD7DB6" w:rsidP="00AD7DB6">
            <w:pPr>
              <w:snapToGrid w:val="0"/>
              <w:rPr>
                <w:b/>
                <w:sz w:val="18"/>
              </w:rPr>
            </w:pPr>
            <w:r>
              <w:rPr>
                <w:b/>
                <w:sz w:val="18"/>
              </w:rPr>
              <w:t>Likely Source of Contamination</w:t>
            </w:r>
          </w:p>
        </w:tc>
      </w:tr>
      <w:tr w:rsidR="00AD7DB6" w14:paraId="798503F0" w14:textId="77777777" w:rsidTr="00AD7DB6">
        <w:trPr>
          <w:cantSplit/>
          <w:trHeight w:val="563"/>
        </w:trPr>
        <w:tc>
          <w:tcPr>
            <w:tcW w:w="2391" w:type="dxa"/>
            <w:tcBorders>
              <w:top w:val="single" w:sz="4" w:space="0" w:color="000000"/>
              <w:left w:val="single" w:sz="4" w:space="0" w:color="000000"/>
              <w:bottom w:val="single" w:sz="4" w:space="0" w:color="000000"/>
              <w:right w:val="nil"/>
            </w:tcBorders>
            <w:vAlign w:val="center"/>
            <w:hideMark/>
          </w:tcPr>
          <w:p w14:paraId="1288112D" w14:textId="77777777" w:rsidR="00AD7DB6" w:rsidRDefault="00AD7DB6" w:rsidP="00AD7DB6">
            <w:pPr>
              <w:snapToGrid w:val="0"/>
              <w:rPr>
                <w:sz w:val="18"/>
              </w:rPr>
            </w:pPr>
            <w:r>
              <w:rPr>
                <w:sz w:val="18"/>
              </w:rPr>
              <w:t>Chlorine (ppm)</w:t>
            </w:r>
          </w:p>
        </w:tc>
        <w:tc>
          <w:tcPr>
            <w:tcW w:w="990" w:type="dxa"/>
            <w:tcBorders>
              <w:top w:val="single" w:sz="4" w:space="0" w:color="000000"/>
              <w:left w:val="single" w:sz="4" w:space="0" w:color="000000"/>
              <w:bottom w:val="single" w:sz="4" w:space="0" w:color="000000"/>
              <w:right w:val="nil"/>
            </w:tcBorders>
            <w:vAlign w:val="center"/>
            <w:hideMark/>
          </w:tcPr>
          <w:p w14:paraId="09079C34" w14:textId="77777777" w:rsidR="00AD7DB6" w:rsidRDefault="00AD7DB6" w:rsidP="00AD7DB6">
            <w:pPr>
              <w:snapToGrid w:val="0"/>
              <w:jc w:val="center"/>
              <w:rPr>
                <w:sz w:val="18"/>
              </w:rPr>
            </w:pPr>
            <w:r>
              <w:rPr>
                <w:sz w:val="18"/>
              </w:rPr>
              <w:t>2021</w:t>
            </w:r>
          </w:p>
          <w:p w14:paraId="04003ADB" w14:textId="77777777" w:rsidR="00AD7DB6" w:rsidRDefault="00AD7DB6" w:rsidP="00AD7DB6">
            <w:pPr>
              <w:snapToGrid w:val="0"/>
              <w:jc w:val="center"/>
              <w:rPr>
                <w:sz w:val="18"/>
              </w:rPr>
            </w:pPr>
            <w:r>
              <w:rPr>
                <w:sz w:val="18"/>
              </w:rPr>
              <w:t>Monthly</w:t>
            </w:r>
          </w:p>
        </w:tc>
        <w:tc>
          <w:tcPr>
            <w:tcW w:w="990" w:type="dxa"/>
            <w:tcBorders>
              <w:top w:val="single" w:sz="4" w:space="0" w:color="000000"/>
              <w:left w:val="single" w:sz="4" w:space="0" w:color="000000"/>
              <w:bottom w:val="single" w:sz="4" w:space="0" w:color="000000"/>
              <w:right w:val="nil"/>
            </w:tcBorders>
            <w:vAlign w:val="center"/>
            <w:hideMark/>
          </w:tcPr>
          <w:p w14:paraId="17DE8D5F" w14:textId="77777777" w:rsidR="00AD7DB6" w:rsidRDefault="00AD7DB6" w:rsidP="00AD7DB6">
            <w:pPr>
              <w:snapToGrid w:val="0"/>
              <w:jc w:val="center"/>
              <w:rPr>
                <w:sz w:val="18"/>
              </w:rPr>
            </w:pPr>
            <w:r>
              <w:rPr>
                <w:sz w:val="18"/>
              </w:rPr>
              <w:t>N</w:t>
            </w:r>
          </w:p>
        </w:tc>
        <w:tc>
          <w:tcPr>
            <w:tcW w:w="900" w:type="dxa"/>
            <w:tcBorders>
              <w:top w:val="single" w:sz="4" w:space="0" w:color="000000"/>
              <w:left w:val="single" w:sz="4" w:space="0" w:color="000000"/>
              <w:bottom w:val="single" w:sz="4" w:space="0" w:color="000000"/>
              <w:right w:val="nil"/>
            </w:tcBorders>
            <w:vAlign w:val="center"/>
            <w:hideMark/>
          </w:tcPr>
          <w:p w14:paraId="4FE236A0" w14:textId="77777777" w:rsidR="00AD7DB6" w:rsidRDefault="00AD7DB6" w:rsidP="00AD7DB6">
            <w:pPr>
              <w:snapToGrid w:val="0"/>
              <w:jc w:val="center"/>
              <w:rPr>
                <w:sz w:val="18"/>
              </w:rPr>
            </w:pPr>
            <w:r>
              <w:rPr>
                <w:sz w:val="18"/>
              </w:rPr>
              <w:t>2.0</w:t>
            </w:r>
          </w:p>
        </w:tc>
        <w:tc>
          <w:tcPr>
            <w:tcW w:w="1034" w:type="dxa"/>
            <w:tcBorders>
              <w:top w:val="single" w:sz="4" w:space="0" w:color="000000"/>
              <w:left w:val="single" w:sz="4" w:space="0" w:color="000000"/>
              <w:bottom w:val="single" w:sz="4" w:space="0" w:color="000000"/>
              <w:right w:val="nil"/>
            </w:tcBorders>
            <w:vAlign w:val="center"/>
            <w:hideMark/>
          </w:tcPr>
          <w:p w14:paraId="34566C0C" w14:textId="77777777" w:rsidR="00AD7DB6" w:rsidRDefault="00AD7DB6" w:rsidP="00AD7DB6">
            <w:pPr>
              <w:snapToGrid w:val="0"/>
              <w:jc w:val="center"/>
              <w:rPr>
                <w:sz w:val="18"/>
              </w:rPr>
            </w:pPr>
            <w:r>
              <w:rPr>
                <w:sz w:val="18"/>
              </w:rPr>
              <w:t>0.34 – 3.98</w:t>
            </w:r>
          </w:p>
        </w:tc>
        <w:tc>
          <w:tcPr>
            <w:tcW w:w="1170" w:type="dxa"/>
            <w:tcBorders>
              <w:top w:val="single" w:sz="4" w:space="0" w:color="000000"/>
              <w:left w:val="single" w:sz="4" w:space="0" w:color="000000"/>
              <w:bottom w:val="single" w:sz="4" w:space="0" w:color="000000"/>
              <w:right w:val="nil"/>
            </w:tcBorders>
            <w:vAlign w:val="center"/>
            <w:hideMark/>
          </w:tcPr>
          <w:p w14:paraId="727BCC9E" w14:textId="77777777" w:rsidR="00AD7DB6" w:rsidRDefault="00AD7DB6" w:rsidP="00AD7DB6">
            <w:pPr>
              <w:snapToGrid w:val="0"/>
              <w:jc w:val="center"/>
              <w:rPr>
                <w:sz w:val="18"/>
              </w:rPr>
            </w:pPr>
            <w:r>
              <w:rPr>
                <w:sz w:val="18"/>
              </w:rPr>
              <w:t>MRDLG = 4</w:t>
            </w:r>
          </w:p>
        </w:tc>
        <w:tc>
          <w:tcPr>
            <w:tcW w:w="1080" w:type="dxa"/>
            <w:tcBorders>
              <w:top w:val="single" w:sz="4" w:space="0" w:color="000000"/>
              <w:left w:val="single" w:sz="4" w:space="0" w:color="000000"/>
              <w:bottom w:val="single" w:sz="4" w:space="0" w:color="000000"/>
              <w:right w:val="nil"/>
            </w:tcBorders>
            <w:vAlign w:val="center"/>
            <w:hideMark/>
          </w:tcPr>
          <w:p w14:paraId="1265B573" w14:textId="77777777" w:rsidR="00AD7DB6" w:rsidRDefault="00AD7DB6" w:rsidP="00AD7DB6">
            <w:pPr>
              <w:snapToGrid w:val="0"/>
              <w:ind w:left="-100" w:right="-100"/>
              <w:jc w:val="center"/>
              <w:rPr>
                <w:sz w:val="18"/>
              </w:rPr>
            </w:pPr>
            <w:r>
              <w:rPr>
                <w:sz w:val="18"/>
              </w:rPr>
              <w:t>MRDL = 4.0</w:t>
            </w:r>
          </w:p>
        </w:tc>
        <w:tc>
          <w:tcPr>
            <w:tcW w:w="1880" w:type="dxa"/>
            <w:tcBorders>
              <w:top w:val="single" w:sz="4" w:space="0" w:color="000000"/>
              <w:left w:val="single" w:sz="4" w:space="0" w:color="000000"/>
              <w:bottom w:val="single" w:sz="4" w:space="0" w:color="000000"/>
              <w:right w:val="single" w:sz="4" w:space="0" w:color="000000"/>
            </w:tcBorders>
            <w:vAlign w:val="center"/>
            <w:hideMark/>
          </w:tcPr>
          <w:p w14:paraId="62EEAD8E" w14:textId="77777777" w:rsidR="00AD7DB6" w:rsidRDefault="00AD7DB6" w:rsidP="00AD7DB6">
            <w:pPr>
              <w:snapToGrid w:val="0"/>
              <w:rPr>
                <w:sz w:val="18"/>
              </w:rPr>
            </w:pPr>
            <w:r>
              <w:rPr>
                <w:sz w:val="18"/>
              </w:rPr>
              <w:t>Water additive used to control microbes</w:t>
            </w:r>
          </w:p>
        </w:tc>
      </w:tr>
      <w:tr w:rsidR="00B223ED" w14:paraId="7A9015AB" w14:textId="77777777" w:rsidTr="00AD7DB6">
        <w:trPr>
          <w:cantSplit/>
          <w:trHeight w:val="683"/>
        </w:trPr>
        <w:tc>
          <w:tcPr>
            <w:tcW w:w="2391" w:type="dxa"/>
            <w:tcBorders>
              <w:top w:val="single" w:sz="4" w:space="0" w:color="000000"/>
              <w:left w:val="single" w:sz="4" w:space="0" w:color="000000"/>
              <w:bottom w:val="single" w:sz="4" w:space="0" w:color="000000"/>
              <w:right w:val="nil"/>
            </w:tcBorders>
            <w:vAlign w:val="center"/>
            <w:hideMark/>
          </w:tcPr>
          <w:p w14:paraId="7EF508D7" w14:textId="77777777" w:rsidR="00B223ED" w:rsidRDefault="00B223ED" w:rsidP="00B223ED">
            <w:pPr>
              <w:snapToGrid w:val="0"/>
              <w:rPr>
                <w:sz w:val="18"/>
              </w:rPr>
            </w:pPr>
            <w:r>
              <w:rPr>
                <w:sz w:val="18"/>
              </w:rPr>
              <w:t xml:space="preserve"> </w:t>
            </w:r>
            <w:proofErr w:type="spellStart"/>
            <w:r>
              <w:rPr>
                <w:sz w:val="18"/>
              </w:rPr>
              <w:t>Haloacetic</w:t>
            </w:r>
            <w:proofErr w:type="spellEnd"/>
            <w:r>
              <w:rPr>
                <w:sz w:val="18"/>
              </w:rPr>
              <w:t xml:space="preserve"> Acids (HAA5) (ppb)</w:t>
            </w:r>
          </w:p>
        </w:tc>
        <w:tc>
          <w:tcPr>
            <w:tcW w:w="990" w:type="dxa"/>
            <w:tcBorders>
              <w:top w:val="single" w:sz="4" w:space="0" w:color="000000"/>
              <w:left w:val="single" w:sz="4" w:space="0" w:color="000000"/>
              <w:bottom w:val="single" w:sz="4" w:space="0" w:color="000000"/>
              <w:right w:val="nil"/>
            </w:tcBorders>
            <w:vAlign w:val="center"/>
            <w:hideMark/>
          </w:tcPr>
          <w:p w14:paraId="19612DA6" w14:textId="77777777" w:rsidR="00B223ED" w:rsidRDefault="00B223ED" w:rsidP="00B223ED">
            <w:pPr>
              <w:snapToGrid w:val="0"/>
              <w:jc w:val="center"/>
              <w:rPr>
                <w:sz w:val="18"/>
              </w:rPr>
            </w:pPr>
            <w:r>
              <w:rPr>
                <w:sz w:val="18"/>
              </w:rPr>
              <w:t>1/21-12/21</w:t>
            </w:r>
          </w:p>
          <w:p w14:paraId="4020F16D" w14:textId="77777777" w:rsidR="00B223ED" w:rsidRDefault="00B223ED" w:rsidP="00B223ED">
            <w:pPr>
              <w:snapToGrid w:val="0"/>
              <w:jc w:val="center"/>
              <w:rPr>
                <w:sz w:val="18"/>
              </w:rPr>
            </w:pPr>
          </w:p>
        </w:tc>
        <w:tc>
          <w:tcPr>
            <w:tcW w:w="990" w:type="dxa"/>
            <w:tcBorders>
              <w:top w:val="single" w:sz="4" w:space="0" w:color="000000"/>
              <w:left w:val="single" w:sz="4" w:space="0" w:color="000000"/>
              <w:bottom w:val="single" w:sz="4" w:space="0" w:color="000000"/>
              <w:right w:val="nil"/>
            </w:tcBorders>
            <w:vAlign w:val="center"/>
          </w:tcPr>
          <w:p w14:paraId="4ADABE4F" w14:textId="77777777" w:rsidR="00B223ED" w:rsidRDefault="00B223ED" w:rsidP="00B223ED">
            <w:pPr>
              <w:snapToGrid w:val="0"/>
              <w:jc w:val="center"/>
              <w:rPr>
                <w:sz w:val="18"/>
              </w:rPr>
            </w:pPr>
            <w:r>
              <w:rPr>
                <w:sz w:val="18"/>
              </w:rPr>
              <w:t>N</w:t>
            </w:r>
          </w:p>
          <w:p w14:paraId="44C3C320" w14:textId="77777777" w:rsidR="00B223ED" w:rsidRDefault="00B223ED" w:rsidP="00B223ED">
            <w:pPr>
              <w:snapToGrid w:val="0"/>
              <w:jc w:val="center"/>
              <w:rPr>
                <w:sz w:val="18"/>
              </w:rPr>
            </w:pPr>
          </w:p>
        </w:tc>
        <w:tc>
          <w:tcPr>
            <w:tcW w:w="900" w:type="dxa"/>
            <w:tcBorders>
              <w:top w:val="single" w:sz="4" w:space="0" w:color="000000"/>
              <w:left w:val="single" w:sz="4" w:space="0" w:color="000000"/>
              <w:bottom w:val="single" w:sz="4" w:space="0" w:color="000000"/>
              <w:right w:val="nil"/>
            </w:tcBorders>
            <w:vAlign w:val="center"/>
            <w:hideMark/>
          </w:tcPr>
          <w:p w14:paraId="25218814" w14:textId="4310798D" w:rsidR="00B223ED" w:rsidRDefault="00B223ED" w:rsidP="00B223ED">
            <w:pPr>
              <w:snapToGrid w:val="0"/>
              <w:jc w:val="center"/>
              <w:rPr>
                <w:sz w:val="18"/>
              </w:rPr>
            </w:pPr>
            <w:r>
              <w:rPr>
                <w:sz w:val="18"/>
              </w:rPr>
              <w:t>15 (highest LRAA at Site 1)</w:t>
            </w:r>
          </w:p>
        </w:tc>
        <w:tc>
          <w:tcPr>
            <w:tcW w:w="1034" w:type="dxa"/>
            <w:tcBorders>
              <w:top w:val="single" w:sz="4" w:space="0" w:color="000000"/>
              <w:left w:val="single" w:sz="4" w:space="0" w:color="000000"/>
              <w:bottom w:val="single" w:sz="4" w:space="0" w:color="000000"/>
              <w:right w:val="nil"/>
            </w:tcBorders>
            <w:vAlign w:val="center"/>
            <w:hideMark/>
          </w:tcPr>
          <w:p w14:paraId="126E3EDC" w14:textId="12F4B224" w:rsidR="00B223ED" w:rsidRDefault="00B223ED" w:rsidP="00B223ED">
            <w:pPr>
              <w:snapToGrid w:val="0"/>
              <w:jc w:val="center"/>
              <w:rPr>
                <w:sz w:val="18"/>
              </w:rPr>
            </w:pPr>
            <w:r>
              <w:rPr>
                <w:sz w:val="18"/>
              </w:rPr>
              <w:t>7.2-11</w:t>
            </w:r>
          </w:p>
        </w:tc>
        <w:tc>
          <w:tcPr>
            <w:tcW w:w="1170" w:type="dxa"/>
            <w:tcBorders>
              <w:top w:val="single" w:sz="4" w:space="0" w:color="000000"/>
              <w:left w:val="single" w:sz="4" w:space="0" w:color="000000"/>
              <w:bottom w:val="single" w:sz="4" w:space="0" w:color="000000"/>
              <w:right w:val="nil"/>
            </w:tcBorders>
            <w:vAlign w:val="center"/>
            <w:hideMark/>
          </w:tcPr>
          <w:p w14:paraId="2A6E3E5D" w14:textId="77777777" w:rsidR="00B223ED" w:rsidRDefault="00B223ED" w:rsidP="00B223ED">
            <w:pPr>
              <w:snapToGrid w:val="0"/>
              <w:jc w:val="center"/>
              <w:rPr>
                <w:sz w:val="18"/>
              </w:rPr>
            </w:pPr>
            <w:r>
              <w:rPr>
                <w:sz w:val="18"/>
              </w:rPr>
              <w:t>N/A</w:t>
            </w:r>
          </w:p>
        </w:tc>
        <w:tc>
          <w:tcPr>
            <w:tcW w:w="1080" w:type="dxa"/>
            <w:tcBorders>
              <w:top w:val="single" w:sz="4" w:space="0" w:color="000000"/>
              <w:left w:val="single" w:sz="4" w:space="0" w:color="000000"/>
              <w:bottom w:val="single" w:sz="4" w:space="0" w:color="000000"/>
              <w:right w:val="nil"/>
            </w:tcBorders>
            <w:vAlign w:val="center"/>
            <w:hideMark/>
          </w:tcPr>
          <w:p w14:paraId="625B315A" w14:textId="77777777" w:rsidR="00B223ED" w:rsidRDefault="00B223ED" w:rsidP="00B223ED">
            <w:pPr>
              <w:snapToGrid w:val="0"/>
              <w:ind w:left="-100" w:right="-100"/>
              <w:jc w:val="center"/>
              <w:rPr>
                <w:sz w:val="18"/>
              </w:rPr>
            </w:pPr>
            <w:r>
              <w:rPr>
                <w:sz w:val="18"/>
              </w:rPr>
              <w:t>MCL = 60</w:t>
            </w:r>
          </w:p>
        </w:tc>
        <w:tc>
          <w:tcPr>
            <w:tcW w:w="1880" w:type="dxa"/>
            <w:tcBorders>
              <w:top w:val="single" w:sz="4" w:space="0" w:color="000000"/>
              <w:left w:val="single" w:sz="4" w:space="0" w:color="000000"/>
              <w:bottom w:val="single" w:sz="4" w:space="0" w:color="000000"/>
              <w:right w:val="single" w:sz="4" w:space="0" w:color="000000"/>
            </w:tcBorders>
            <w:vAlign w:val="center"/>
            <w:hideMark/>
          </w:tcPr>
          <w:p w14:paraId="5F81330B" w14:textId="77777777" w:rsidR="00B223ED" w:rsidRDefault="00B223ED" w:rsidP="00B223ED">
            <w:pPr>
              <w:snapToGrid w:val="0"/>
              <w:rPr>
                <w:sz w:val="18"/>
              </w:rPr>
            </w:pPr>
            <w:r>
              <w:rPr>
                <w:sz w:val="18"/>
              </w:rPr>
              <w:t>By-product of drinking water disinfection</w:t>
            </w:r>
          </w:p>
        </w:tc>
      </w:tr>
      <w:tr w:rsidR="00711960" w14:paraId="1D360F7F" w14:textId="77777777" w:rsidTr="00AD7DB6">
        <w:trPr>
          <w:cantSplit/>
          <w:trHeight w:val="403"/>
        </w:trPr>
        <w:tc>
          <w:tcPr>
            <w:tcW w:w="2391" w:type="dxa"/>
            <w:tcBorders>
              <w:top w:val="single" w:sz="4" w:space="0" w:color="000000"/>
              <w:left w:val="single" w:sz="4" w:space="0" w:color="000000"/>
              <w:bottom w:val="single" w:sz="4" w:space="0" w:color="auto"/>
              <w:right w:val="nil"/>
            </w:tcBorders>
            <w:vAlign w:val="center"/>
            <w:hideMark/>
          </w:tcPr>
          <w:p w14:paraId="049C37D0" w14:textId="77777777" w:rsidR="00711960" w:rsidRDefault="00711960" w:rsidP="00711960">
            <w:pPr>
              <w:snapToGrid w:val="0"/>
              <w:rPr>
                <w:sz w:val="18"/>
              </w:rPr>
            </w:pPr>
            <w:r>
              <w:rPr>
                <w:sz w:val="18"/>
              </w:rPr>
              <w:t>Total Trihalomethanes (TTHM) (ppb)</w:t>
            </w:r>
          </w:p>
        </w:tc>
        <w:tc>
          <w:tcPr>
            <w:tcW w:w="990" w:type="dxa"/>
            <w:tcBorders>
              <w:top w:val="single" w:sz="4" w:space="0" w:color="000000"/>
              <w:left w:val="single" w:sz="4" w:space="0" w:color="000000"/>
              <w:bottom w:val="single" w:sz="4" w:space="0" w:color="auto"/>
              <w:right w:val="nil"/>
            </w:tcBorders>
            <w:vAlign w:val="center"/>
            <w:hideMark/>
          </w:tcPr>
          <w:p w14:paraId="7815CF3F" w14:textId="77777777" w:rsidR="00711960" w:rsidRDefault="00711960" w:rsidP="00711960">
            <w:pPr>
              <w:snapToGrid w:val="0"/>
              <w:jc w:val="center"/>
              <w:rPr>
                <w:sz w:val="18"/>
              </w:rPr>
            </w:pPr>
            <w:r>
              <w:rPr>
                <w:sz w:val="18"/>
              </w:rPr>
              <w:t>1/21-12/21</w:t>
            </w:r>
          </w:p>
          <w:p w14:paraId="77BC95ED" w14:textId="77777777" w:rsidR="00711960" w:rsidRDefault="00711960" w:rsidP="00711960">
            <w:pPr>
              <w:snapToGrid w:val="0"/>
              <w:jc w:val="center"/>
              <w:rPr>
                <w:sz w:val="18"/>
              </w:rPr>
            </w:pPr>
          </w:p>
        </w:tc>
        <w:tc>
          <w:tcPr>
            <w:tcW w:w="990" w:type="dxa"/>
            <w:tcBorders>
              <w:top w:val="single" w:sz="4" w:space="0" w:color="000000"/>
              <w:left w:val="single" w:sz="4" w:space="0" w:color="000000"/>
              <w:bottom w:val="single" w:sz="4" w:space="0" w:color="auto"/>
              <w:right w:val="nil"/>
            </w:tcBorders>
            <w:vAlign w:val="center"/>
          </w:tcPr>
          <w:p w14:paraId="18D0909F" w14:textId="77777777" w:rsidR="00711960" w:rsidRDefault="00711960" w:rsidP="00711960">
            <w:pPr>
              <w:snapToGrid w:val="0"/>
              <w:jc w:val="center"/>
              <w:rPr>
                <w:sz w:val="18"/>
              </w:rPr>
            </w:pPr>
          </w:p>
          <w:p w14:paraId="1448F06B" w14:textId="77777777" w:rsidR="00711960" w:rsidRDefault="00711960" w:rsidP="00711960">
            <w:pPr>
              <w:snapToGrid w:val="0"/>
              <w:jc w:val="center"/>
              <w:rPr>
                <w:sz w:val="18"/>
              </w:rPr>
            </w:pPr>
            <w:r>
              <w:rPr>
                <w:sz w:val="18"/>
              </w:rPr>
              <w:t>N</w:t>
            </w:r>
          </w:p>
          <w:p w14:paraId="4D3BE561" w14:textId="77777777" w:rsidR="00711960" w:rsidRDefault="00711960" w:rsidP="00711960">
            <w:pPr>
              <w:snapToGrid w:val="0"/>
              <w:jc w:val="center"/>
              <w:rPr>
                <w:sz w:val="18"/>
              </w:rPr>
            </w:pPr>
          </w:p>
        </w:tc>
        <w:tc>
          <w:tcPr>
            <w:tcW w:w="900" w:type="dxa"/>
            <w:tcBorders>
              <w:top w:val="single" w:sz="4" w:space="0" w:color="000000"/>
              <w:left w:val="single" w:sz="4" w:space="0" w:color="000000"/>
              <w:bottom w:val="single" w:sz="4" w:space="0" w:color="auto"/>
              <w:right w:val="nil"/>
            </w:tcBorders>
            <w:vAlign w:val="center"/>
            <w:hideMark/>
          </w:tcPr>
          <w:p w14:paraId="0DDB9009" w14:textId="0134CD4B" w:rsidR="00711960" w:rsidRDefault="00711960" w:rsidP="00711960">
            <w:pPr>
              <w:jc w:val="center"/>
              <w:rPr>
                <w:sz w:val="18"/>
              </w:rPr>
            </w:pPr>
            <w:r w:rsidRPr="00170AEC">
              <w:rPr>
                <w:sz w:val="18"/>
              </w:rPr>
              <w:t>5</w:t>
            </w:r>
            <w:r>
              <w:rPr>
                <w:sz w:val="18"/>
              </w:rPr>
              <w:t>0</w:t>
            </w:r>
            <w:r w:rsidRPr="00170AEC">
              <w:rPr>
                <w:sz w:val="18"/>
              </w:rPr>
              <w:t xml:space="preserve"> (highest LRAA at Site 1)</w:t>
            </w:r>
          </w:p>
        </w:tc>
        <w:tc>
          <w:tcPr>
            <w:tcW w:w="1034" w:type="dxa"/>
            <w:tcBorders>
              <w:top w:val="single" w:sz="4" w:space="0" w:color="000000"/>
              <w:left w:val="single" w:sz="4" w:space="0" w:color="000000"/>
              <w:bottom w:val="single" w:sz="4" w:space="0" w:color="auto"/>
              <w:right w:val="nil"/>
            </w:tcBorders>
            <w:vAlign w:val="center"/>
          </w:tcPr>
          <w:p w14:paraId="3B315BEC" w14:textId="77777777" w:rsidR="00711960" w:rsidRDefault="00711960" w:rsidP="00711960">
            <w:pPr>
              <w:jc w:val="center"/>
              <w:rPr>
                <w:sz w:val="18"/>
              </w:rPr>
            </w:pPr>
          </w:p>
          <w:p w14:paraId="6FA03E7B" w14:textId="77777777" w:rsidR="00711960" w:rsidRDefault="00711960" w:rsidP="00711960">
            <w:pPr>
              <w:jc w:val="center"/>
              <w:rPr>
                <w:sz w:val="18"/>
              </w:rPr>
            </w:pPr>
            <w:r>
              <w:rPr>
                <w:sz w:val="18"/>
              </w:rPr>
              <w:t>19-36</w:t>
            </w:r>
          </w:p>
          <w:p w14:paraId="7189D50A" w14:textId="77777777" w:rsidR="00711960" w:rsidRDefault="00711960" w:rsidP="00711960">
            <w:pPr>
              <w:jc w:val="center"/>
              <w:rPr>
                <w:sz w:val="18"/>
              </w:rPr>
            </w:pPr>
          </w:p>
        </w:tc>
        <w:tc>
          <w:tcPr>
            <w:tcW w:w="1170" w:type="dxa"/>
            <w:tcBorders>
              <w:top w:val="single" w:sz="4" w:space="0" w:color="000000"/>
              <w:left w:val="single" w:sz="4" w:space="0" w:color="000000"/>
              <w:bottom w:val="single" w:sz="4" w:space="0" w:color="auto"/>
              <w:right w:val="nil"/>
            </w:tcBorders>
            <w:vAlign w:val="center"/>
            <w:hideMark/>
          </w:tcPr>
          <w:p w14:paraId="4FBED140" w14:textId="77777777" w:rsidR="00711960" w:rsidRDefault="00711960" w:rsidP="00711960">
            <w:pPr>
              <w:snapToGrid w:val="0"/>
              <w:jc w:val="center"/>
              <w:rPr>
                <w:sz w:val="18"/>
              </w:rPr>
            </w:pPr>
            <w:r>
              <w:rPr>
                <w:sz w:val="18"/>
              </w:rPr>
              <w:t>N/A</w:t>
            </w:r>
          </w:p>
        </w:tc>
        <w:tc>
          <w:tcPr>
            <w:tcW w:w="1080" w:type="dxa"/>
            <w:tcBorders>
              <w:top w:val="single" w:sz="4" w:space="0" w:color="000000"/>
              <w:left w:val="single" w:sz="4" w:space="0" w:color="000000"/>
              <w:bottom w:val="single" w:sz="4" w:space="0" w:color="auto"/>
              <w:right w:val="nil"/>
            </w:tcBorders>
            <w:vAlign w:val="center"/>
            <w:hideMark/>
          </w:tcPr>
          <w:p w14:paraId="666E5E63" w14:textId="77777777" w:rsidR="00711960" w:rsidRDefault="00711960" w:rsidP="00711960">
            <w:pPr>
              <w:snapToGrid w:val="0"/>
              <w:ind w:left="-100" w:right="-100"/>
              <w:jc w:val="center"/>
              <w:rPr>
                <w:sz w:val="18"/>
              </w:rPr>
            </w:pPr>
            <w:r>
              <w:rPr>
                <w:sz w:val="18"/>
              </w:rPr>
              <w:t>MCL = 80</w:t>
            </w:r>
          </w:p>
        </w:tc>
        <w:tc>
          <w:tcPr>
            <w:tcW w:w="1880" w:type="dxa"/>
            <w:tcBorders>
              <w:top w:val="single" w:sz="4" w:space="0" w:color="000000"/>
              <w:left w:val="single" w:sz="4" w:space="0" w:color="000000"/>
              <w:bottom w:val="single" w:sz="4" w:space="0" w:color="auto"/>
              <w:right w:val="single" w:sz="4" w:space="0" w:color="000000"/>
            </w:tcBorders>
            <w:vAlign w:val="center"/>
            <w:hideMark/>
          </w:tcPr>
          <w:p w14:paraId="3327E983" w14:textId="77777777" w:rsidR="00711960" w:rsidRDefault="00711960" w:rsidP="00711960">
            <w:pPr>
              <w:snapToGrid w:val="0"/>
              <w:rPr>
                <w:sz w:val="18"/>
              </w:rPr>
            </w:pPr>
            <w:r>
              <w:rPr>
                <w:sz w:val="18"/>
              </w:rPr>
              <w:t>By-product of drinking water disinfection</w:t>
            </w:r>
          </w:p>
        </w:tc>
      </w:tr>
      <w:tr w:rsidR="00711960" w14:paraId="2ADCFFED" w14:textId="77777777" w:rsidTr="00AD7DB6">
        <w:trPr>
          <w:cantSplit/>
          <w:trHeight w:val="403"/>
        </w:trPr>
        <w:tc>
          <w:tcPr>
            <w:tcW w:w="10435" w:type="dxa"/>
            <w:gridSpan w:val="8"/>
            <w:tcBorders>
              <w:top w:val="single" w:sz="4" w:space="0" w:color="auto"/>
            </w:tcBorders>
            <w:vAlign w:val="center"/>
          </w:tcPr>
          <w:p w14:paraId="3DFD4ADC" w14:textId="77777777" w:rsidR="00711960" w:rsidRDefault="00711960" w:rsidP="00711960">
            <w:pPr>
              <w:snapToGrid w:val="0"/>
              <w:rPr>
                <w:sz w:val="18"/>
              </w:rPr>
            </w:pPr>
          </w:p>
          <w:p w14:paraId="392DBDF4" w14:textId="77777777" w:rsidR="00711960" w:rsidRDefault="00711960" w:rsidP="00711960">
            <w:pPr>
              <w:snapToGrid w:val="0"/>
              <w:rPr>
                <w:sz w:val="18"/>
              </w:rPr>
            </w:pPr>
          </w:p>
        </w:tc>
      </w:tr>
    </w:tbl>
    <w:p w14:paraId="5C7BAF10" w14:textId="77777777" w:rsidR="00DE1CA0" w:rsidRDefault="00DE1CA0" w:rsidP="00DE1CA0">
      <w:pPr>
        <w:keepNext/>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b/>
          <w:sz w:val="32"/>
          <w:u w:val="single"/>
        </w:rPr>
      </w:pPr>
    </w:p>
    <w:p w14:paraId="2DCB1CDE" w14:textId="77777777" w:rsidR="00DE1CA0" w:rsidRDefault="00DE1CA0" w:rsidP="00DE1CA0">
      <w:pPr>
        <w:rPr>
          <w:vanish/>
        </w:rPr>
      </w:pPr>
    </w:p>
    <w:p w14:paraId="3DA1D31C" w14:textId="77777777" w:rsidR="00DE1CA0" w:rsidRDefault="00DE1CA0" w:rsidP="00DE1CA0">
      <w:pPr>
        <w:rPr>
          <w:vanish/>
        </w:rPr>
      </w:pPr>
    </w:p>
    <w:tbl>
      <w:tblPr>
        <w:tblpPr w:leftFromText="180" w:rightFromText="180" w:vertAnchor="text" w:horzAnchor="margin" w:tblpXSpec="center" w:tblpY="3"/>
        <w:tblW w:w="10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0" w:type="dxa"/>
          <w:right w:w="100" w:type="dxa"/>
        </w:tblCellMar>
        <w:tblLook w:val="04A0" w:firstRow="1" w:lastRow="0" w:firstColumn="1" w:lastColumn="0" w:noHBand="0" w:noVBand="1"/>
      </w:tblPr>
      <w:tblGrid>
        <w:gridCol w:w="1975"/>
        <w:gridCol w:w="990"/>
        <w:gridCol w:w="900"/>
        <w:gridCol w:w="990"/>
        <w:gridCol w:w="1350"/>
        <w:gridCol w:w="8"/>
        <w:gridCol w:w="712"/>
        <w:gridCol w:w="900"/>
        <w:gridCol w:w="2610"/>
      </w:tblGrid>
      <w:tr w:rsidR="00DE1CA0" w14:paraId="3E97D165" w14:textId="77777777" w:rsidTr="00AD7DB6">
        <w:trPr>
          <w:cantSplit/>
          <w:trHeight w:val="533"/>
        </w:trPr>
        <w:tc>
          <w:tcPr>
            <w:tcW w:w="10435" w:type="dxa"/>
            <w:gridSpan w:val="9"/>
            <w:tcBorders>
              <w:top w:val="single" w:sz="4" w:space="0" w:color="000000"/>
              <w:left w:val="single" w:sz="4" w:space="0" w:color="000000"/>
              <w:bottom w:val="single" w:sz="4" w:space="0" w:color="000000"/>
              <w:right w:val="single" w:sz="4" w:space="0" w:color="000000"/>
            </w:tcBorders>
            <w:vAlign w:val="center"/>
            <w:hideMark/>
          </w:tcPr>
          <w:p w14:paraId="042C9D36" w14:textId="77777777" w:rsidR="00DE1CA0" w:rsidRDefault="00DE1CA0">
            <w:pPr>
              <w:snapToGrid w:val="0"/>
              <w:rPr>
                <w:b/>
                <w:sz w:val="28"/>
              </w:rPr>
            </w:pPr>
            <w:r>
              <w:rPr>
                <w:b/>
                <w:sz w:val="28"/>
              </w:rPr>
              <w:t>Lead and Copper (Tap Water)</w:t>
            </w:r>
          </w:p>
        </w:tc>
      </w:tr>
      <w:tr w:rsidR="00A825B2" w14:paraId="3A438C76" w14:textId="77777777" w:rsidTr="00AD7DB6">
        <w:trPr>
          <w:cantSplit/>
          <w:trHeight w:val="403"/>
        </w:trPr>
        <w:tc>
          <w:tcPr>
            <w:tcW w:w="1975" w:type="dxa"/>
            <w:tcBorders>
              <w:top w:val="single" w:sz="4" w:space="0" w:color="000000"/>
              <w:left w:val="single" w:sz="4" w:space="0" w:color="000000"/>
              <w:bottom w:val="single" w:sz="4" w:space="0" w:color="000000"/>
              <w:right w:val="single" w:sz="4" w:space="0" w:color="000000"/>
            </w:tcBorders>
            <w:vAlign w:val="center"/>
          </w:tcPr>
          <w:p w14:paraId="6148F30B" w14:textId="77777777" w:rsidR="00A825B2" w:rsidRDefault="00A825B2" w:rsidP="00A825B2">
            <w:pPr>
              <w:snapToGrid w:val="0"/>
              <w:rPr>
                <w:b/>
                <w:sz w:val="16"/>
              </w:rPr>
            </w:pPr>
            <w:r>
              <w:rPr>
                <w:b/>
                <w:sz w:val="16"/>
              </w:rPr>
              <w:t>Contaminant and Unit of Measurement</w:t>
            </w:r>
          </w:p>
        </w:tc>
        <w:tc>
          <w:tcPr>
            <w:tcW w:w="990" w:type="dxa"/>
            <w:tcBorders>
              <w:top w:val="single" w:sz="4" w:space="0" w:color="000000"/>
              <w:left w:val="single" w:sz="4" w:space="0" w:color="000000"/>
              <w:bottom w:val="single" w:sz="4" w:space="0" w:color="000000"/>
              <w:right w:val="single" w:sz="4" w:space="0" w:color="000000"/>
            </w:tcBorders>
            <w:vAlign w:val="center"/>
          </w:tcPr>
          <w:p w14:paraId="46A0E7A7" w14:textId="77777777" w:rsidR="00A825B2" w:rsidRDefault="00A825B2" w:rsidP="00A825B2">
            <w:pPr>
              <w:snapToGrid w:val="0"/>
              <w:jc w:val="center"/>
              <w:rPr>
                <w:b/>
                <w:sz w:val="16"/>
              </w:rPr>
            </w:pPr>
            <w:r>
              <w:rPr>
                <w:b/>
                <w:sz w:val="16"/>
              </w:rPr>
              <w:t>Dates of sampling (mo./yr.)</w:t>
            </w:r>
          </w:p>
        </w:tc>
        <w:tc>
          <w:tcPr>
            <w:tcW w:w="900" w:type="dxa"/>
            <w:tcBorders>
              <w:top w:val="single" w:sz="4" w:space="0" w:color="000000"/>
              <w:left w:val="single" w:sz="4" w:space="0" w:color="000000"/>
              <w:bottom w:val="single" w:sz="4" w:space="0" w:color="000000"/>
              <w:right w:val="single" w:sz="4" w:space="0" w:color="000000"/>
            </w:tcBorders>
            <w:vAlign w:val="center"/>
          </w:tcPr>
          <w:p w14:paraId="25E3D8C5" w14:textId="77777777" w:rsidR="00A825B2" w:rsidRDefault="00A825B2" w:rsidP="00A825B2">
            <w:pPr>
              <w:snapToGrid w:val="0"/>
              <w:jc w:val="center"/>
              <w:rPr>
                <w:b/>
                <w:sz w:val="16"/>
              </w:rPr>
            </w:pPr>
            <w:r>
              <w:rPr>
                <w:b/>
                <w:sz w:val="16"/>
              </w:rPr>
              <w:t>AL Exceeded</w:t>
            </w:r>
          </w:p>
          <w:p w14:paraId="30FFD502" w14:textId="77777777" w:rsidR="00A825B2" w:rsidRDefault="00A825B2" w:rsidP="00A825B2">
            <w:pPr>
              <w:jc w:val="center"/>
              <w:rPr>
                <w:b/>
                <w:sz w:val="16"/>
              </w:rPr>
            </w:pPr>
            <w:r>
              <w:rPr>
                <w:b/>
                <w:sz w:val="16"/>
              </w:rPr>
              <w:t>(Y/N)</w:t>
            </w:r>
          </w:p>
        </w:tc>
        <w:tc>
          <w:tcPr>
            <w:tcW w:w="990" w:type="dxa"/>
            <w:tcBorders>
              <w:top w:val="single" w:sz="4" w:space="0" w:color="000000"/>
              <w:left w:val="single" w:sz="4" w:space="0" w:color="000000"/>
              <w:bottom w:val="single" w:sz="4" w:space="0" w:color="000000"/>
              <w:right w:val="single" w:sz="4" w:space="0" w:color="000000"/>
            </w:tcBorders>
            <w:vAlign w:val="center"/>
          </w:tcPr>
          <w:p w14:paraId="619B8697" w14:textId="77777777" w:rsidR="00A825B2" w:rsidRDefault="00A825B2" w:rsidP="00A825B2">
            <w:pPr>
              <w:snapToGrid w:val="0"/>
              <w:jc w:val="center"/>
              <w:rPr>
                <w:b/>
                <w:sz w:val="16"/>
              </w:rPr>
            </w:pPr>
            <w:r>
              <w:rPr>
                <w:b/>
                <w:sz w:val="16"/>
              </w:rPr>
              <w:t>90th Percentile Result</w:t>
            </w:r>
          </w:p>
        </w:tc>
        <w:tc>
          <w:tcPr>
            <w:tcW w:w="1350" w:type="dxa"/>
            <w:tcBorders>
              <w:top w:val="single" w:sz="4" w:space="0" w:color="000000"/>
              <w:left w:val="single" w:sz="4" w:space="0" w:color="000000"/>
              <w:bottom w:val="single" w:sz="4" w:space="0" w:color="000000"/>
              <w:right w:val="single" w:sz="4" w:space="0" w:color="000000"/>
            </w:tcBorders>
            <w:vAlign w:val="center"/>
          </w:tcPr>
          <w:p w14:paraId="26873908" w14:textId="77777777" w:rsidR="00A825B2" w:rsidRDefault="00A825B2" w:rsidP="00A825B2">
            <w:pPr>
              <w:snapToGrid w:val="0"/>
              <w:jc w:val="center"/>
              <w:rPr>
                <w:b/>
                <w:sz w:val="16"/>
              </w:rPr>
            </w:pPr>
            <w:r>
              <w:rPr>
                <w:b/>
                <w:sz w:val="16"/>
              </w:rPr>
              <w:t>No. of sampling sites exceeding the AL</w:t>
            </w:r>
          </w:p>
        </w:tc>
        <w:tc>
          <w:tcPr>
            <w:tcW w:w="720" w:type="dxa"/>
            <w:gridSpan w:val="2"/>
            <w:tcBorders>
              <w:top w:val="single" w:sz="4" w:space="0" w:color="000000"/>
              <w:left w:val="single" w:sz="4" w:space="0" w:color="000000"/>
              <w:bottom w:val="single" w:sz="4" w:space="0" w:color="000000"/>
              <w:right w:val="single" w:sz="4" w:space="0" w:color="000000"/>
            </w:tcBorders>
            <w:vAlign w:val="center"/>
          </w:tcPr>
          <w:p w14:paraId="2CA3AA25" w14:textId="77777777" w:rsidR="00A825B2" w:rsidRDefault="00A825B2" w:rsidP="00A825B2">
            <w:pPr>
              <w:snapToGrid w:val="0"/>
              <w:jc w:val="center"/>
              <w:rPr>
                <w:b/>
                <w:sz w:val="16"/>
              </w:rPr>
            </w:pPr>
            <w:r>
              <w:rPr>
                <w:b/>
                <w:sz w:val="16"/>
              </w:rPr>
              <w:t>MCLG</w:t>
            </w:r>
          </w:p>
        </w:tc>
        <w:tc>
          <w:tcPr>
            <w:tcW w:w="900" w:type="dxa"/>
            <w:tcBorders>
              <w:top w:val="single" w:sz="4" w:space="0" w:color="000000"/>
              <w:left w:val="single" w:sz="4" w:space="0" w:color="000000"/>
              <w:bottom w:val="single" w:sz="4" w:space="0" w:color="000000"/>
              <w:right w:val="single" w:sz="4" w:space="0" w:color="000000"/>
            </w:tcBorders>
            <w:vAlign w:val="center"/>
          </w:tcPr>
          <w:p w14:paraId="1DC316CC" w14:textId="77777777" w:rsidR="00A825B2" w:rsidRDefault="00A825B2" w:rsidP="00A825B2">
            <w:pPr>
              <w:snapToGrid w:val="0"/>
              <w:jc w:val="center"/>
              <w:rPr>
                <w:b/>
                <w:sz w:val="16"/>
              </w:rPr>
            </w:pPr>
            <w:r>
              <w:rPr>
                <w:b/>
                <w:sz w:val="16"/>
              </w:rPr>
              <w:t>AL (Action Level)</w:t>
            </w:r>
          </w:p>
        </w:tc>
        <w:tc>
          <w:tcPr>
            <w:tcW w:w="2610" w:type="dxa"/>
            <w:tcBorders>
              <w:top w:val="single" w:sz="4" w:space="0" w:color="000000"/>
              <w:left w:val="single" w:sz="4" w:space="0" w:color="000000"/>
              <w:bottom w:val="single" w:sz="4" w:space="0" w:color="000000"/>
              <w:right w:val="single" w:sz="4" w:space="0" w:color="000000"/>
            </w:tcBorders>
            <w:vAlign w:val="center"/>
          </w:tcPr>
          <w:p w14:paraId="604E6347" w14:textId="77777777" w:rsidR="00A825B2" w:rsidRDefault="00A825B2" w:rsidP="00A825B2">
            <w:pPr>
              <w:snapToGrid w:val="0"/>
              <w:jc w:val="center"/>
              <w:rPr>
                <w:b/>
                <w:sz w:val="16"/>
              </w:rPr>
            </w:pPr>
            <w:r>
              <w:rPr>
                <w:b/>
                <w:sz w:val="16"/>
              </w:rPr>
              <w:t>Likely Source of Contamination</w:t>
            </w:r>
          </w:p>
        </w:tc>
      </w:tr>
      <w:tr w:rsidR="00DE1CA0" w14:paraId="4E6D4E54" w14:textId="77777777" w:rsidTr="00AD7DB6">
        <w:trPr>
          <w:cantSplit/>
          <w:trHeight w:val="403"/>
        </w:trPr>
        <w:tc>
          <w:tcPr>
            <w:tcW w:w="1975" w:type="dxa"/>
            <w:tcBorders>
              <w:top w:val="single" w:sz="4" w:space="0" w:color="000000"/>
              <w:left w:val="single" w:sz="4" w:space="0" w:color="000000"/>
              <w:bottom w:val="single" w:sz="4" w:space="0" w:color="000000"/>
              <w:right w:val="single" w:sz="4" w:space="0" w:color="000000"/>
            </w:tcBorders>
            <w:vAlign w:val="center"/>
            <w:hideMark/>
          </w:tcPr>
          <w:p w14:paraId="4C705366" w14:textId="77777777" w:rsidR="00DE1CA0" w:rsidRDefault="00DE1CA0">
            <w:pPr>
              <w:snapToGrid w:val="0"/>
              <w:rPr>
                <w:sz w:val="18"/>
              </w:rPr>
            </w:pPr>
            <w:r>
              <w:rPr>
                <w:sz w:val="18"/>
              </w:rPr>
              <w:t>Copper (tap water) (ppm)</w:t>
            </w:r>
          </w:p>
        </w:tc>
        <w:tc>
          <w:tcPr>
            <w:tcW w:w="990" w:type="dxa"/>
            <w:tcBorders>
              <w:top w:val="single" w:sz="4" w:space="0" w:color="000000"/>
              <w:left w:val="single" w:sz="4" w:space="0" w:color="000000"/>
              <w:bottom w:val="single" w:sz="4" w:space="0" w:color="000000"/>
              <w:right w:val="single" w:sz="4" w:space="0" w:color="000000"/>
            </w:tcBorders>
            <w:vAlign w:val="center"/>
            <w:hideMark/>
          </w:tcPr>
          <w:p w14:paraId="0C3C434E" w14:textId="2A13D66C" w:rsidR="00DE1CA0" w:rsidRDefault="007008FB">
            <w:pPr>
              <w:snapToGrid w:val="0"/>
              <w:jc w:val="center"/>
              <w:rPr>
                <w:sz w:val="18"/>
                <w:szCs w:val="18"/>
              </w:rPr>
            </w:pPr>
            <w:r>
              <w:rPr>
                <w:sz w:val="18"/>
                <w:szCs w:val="18"/>
              </w:rPr>
              <w:t>07/21</w:t>
            </w:r>
          </w:p>
        </w:tc>
        <w:tc>
          <w:tcPr>
            <w:tcW w:w="900" w:type="dxa"/>
            <w:tcBorders>
              <w:top w:val="single" w:sz="4" w:space="0" w:color="000000"/>
              <w:left w:val="single" w:sz="4" w:space="0" w:color="000000"/>
              <w:bottom w:val="single" w:sz="4" w:space="0" w:color="000000"/>
              <w:right w:val="single" w:sz="4" w:space="0" w:color="000000"/>
            </w:tcBorders>
            <w:vAlign w:val="center"/>
            <w:hideMark/>
          </w:tcPr>
          <w:p w14:paraId="7EEEB33E" w14:textId="77777777" w:rsidR="00DE1CA0" w:rsidRDefault="00DE1CA0">
            <w:pPr>
              <w:snapToGrid w:val="0"/>
              <w:jc w:val="center"/>
              <w:rPr>
                <w:sz w:val="18"/>
                <w:szCs w:val="18"/>
              </w:rPr>
            </w:pPr>
            <w:r>
              <w:rPr>
                <w:sz w:val="18"/>
                <w:szCs w:val="18"/>
              </w:rPr>
              <w:t>N</w:t>
            </w:r>
          </w:p>
        </w:tc>
        <w:tc>
          <w:tcPr>
            <w:tcW w:w="990" w:type="dxa"/>
            <w:tcBorders>
              <w:top w:val="single" w:sz="4" w:space="0" w:color="000000"/>
              <w:left w:val="single" w:sz="4" w:space="0" w:color="000000"/>
              <w:bottom w:val="single" w:sz="4" w:space="0" w:color="000000"/>
              <w:right w:val="single" w:sz="4" w:space="0" w:color="000000"/>
            </w:tcBorders>
            <w:vAlign w:val="center"/>
            <w:hideMark/>
          </w:tcPr>
          <w:p w14:paraId="265F3C4C" w14:textId="2A6AE543" w:rsidR="00DE1CA0" w:rsidRDefault="00DE1CA0">
            <w:pPr>
              <w:snapToGrid w:val="0"/>
              <w:jc w:val="center"/>
              <w:rPr>
                <w:sz w:val="18"/>
                <w:szCs w:val="18"/>
              </w:rPr>
            </w:pPr>
            <w:r>
              <w:rPr>
                <w:sz w:val="18"/>
                <w:szCs w:val="18"/>
              </w:rPr>
              <w:t>0.</w:t>
            </w:r>
            <w:r w:rsidR="00165DEB">
              <w:rPr>
                <w:sz w:val="18"/>
                <w:szCs w:val="18"/>
              </w:rPr>
              <w:t>0</w:t>
            </w:r>
            <w:r w:rsidR="00504C2F">
              <w:rPr>
                <w:sz w:val="18"/>
                <w:szCs w:val="18"/>
              </w:rPr>
              <w:t>31</w:t>
            </w:r>
          </w:p>
        </w:tc>
        <w:tc>
          <w:tcPr>
            <w:tcW w:w="1358" w:type="dxa"/>
            <w:gridSpan w:val="2"/>
            <w:tcBorders>
              <w:top w:val="single" w:sz="4" w:space="0" w:color="000000"/>
              <w:left w:val="single" w:sz="4" w:space="0" w:color="000000"/>
              <w:bottom w:val="single" w:sz="4" w:space="0" w:color="000000"/>
              <w:right w:val="single" w:sz="4" w:space="0" w:color="000000"/>
            </w:tcBorders>
            <w:vAlign w:val="center"/>
            <w:hideMark/>
          </w:tcPr>
          <w:p w14:paraId="2E99034E" w14:textId="77777777" w:rsidR="00DE1CA0" w:rsidRDefault="00DE1CA0">
            <w:pPr>
              <w:snapToGrid w:val="0"/>
              <w:jc w:val="center"/>
              <w:rPr>
                <w:sz w:val="18"/>
                <w:szCs w:val="18"/>
              </w:rPr>
            </w:pPr>
            <w:r>
              <w:rPr>
                <w:sz w:val="18"/>
                <w:szCs w:val="18"/>
              </w:rPr>
              <w:t>0</w:t>
            </w:r>
          </w:p>
        </w:tc>
        <w:tc>
          <w:tcPr>
            <w:tcW w:w="712" w:type="dxa"/>
            <w:tcBorders>
              <w:top w:val="single" w:sz="4" w:space="0" w:color="000000"/>
              <w:left w:val="single" w:sz="4" w:space="0" w:color="000000"/>
              <w:bottom w:val="single" w:sz="4" w:space="0" w:color="000000"/>
              <w:right w:val="single" w:sz="4" w:space="0" w:color="000000"/>
            </w:tcBorders>
            <w:vAlign w:val="center"/>
            <w:hideMark/>
          </w:tcPr>
          <w:p w14:paraId="3F209D0E" w14:textId="77777777" w:rsidR="00DE1CA0" w:rsidRDefault="00DE1CA0">
            <w:pPr>
              <w:snapToGrid w:val="0"/>
              <w:jc w:val="center"/>
              <w:rPr>
                <w:sz w:val="18"/>
                <w:szCs w:val="18"/>
              </w:rPr>
            </w:pPr>
            <w:r>
              <w:rPr>
                <w:sz w:val="18"/>
                <w:szCs w:val="18"/>
              </w:rPr>
              <w:t>1.3</w:t>
            </w:r>
          </w:p>
        </w:tc>
        <w:tc>
          <w:tcPr>
            <w:tcW w:w="900" w:type="dxa"/>
            <w:tcBorders>
              <w:top w:val="single" w:sz="4" w:space="0" w:color="000000"/>
              <w:left w:val="single" w:sz="4" w:space="0" w:color="000000"/>
              <w:bottom w:val="single" w:sz="4" w:space="0" w:color="000000"/>
              <w:right w:val="single" w:sz="4" w:space="0" w:color="000000"/>
            </w:tcBorders>
            <w:vAlign w:val="center"/>
            <w:hideMark/>
          </w:tcPr>
          <w:p w14:paraId="6135F421" w14:textId="77777777" w:rsidR="00DE1CA0" w:rsidRDefault="00DE1CA0">
            <w:pPr>
              <w:snapToGrid w:val="0"/>
              <w:jc w:val="center"/>
              <w:rPr>
                <w:sz w:val="18"/>
                <w:szCs w:val="18"/>
              </w:rPr>
            </w:pPr>
            <w:r>
              <w:rPr>
                <w:sz w:val="18"/>
                <w:szCs w:val="18"/>
              </w:rPr>
              <w:t>1.3</w:t>
            </w:r>
          </w:p>
        </w:tc>
        <w:tc>
          <w:tcPr>
            <w:tcW w:w="2610" w:type="dxa"/>
            <w:tcBorders>
              <w:top w:val="single" w:sz="4" w:space="0" w:color="000000"/>
              <w:left w:val="single" w:sz="4" w:space="0" w:color="000000"/>
              <w:bottom w:val="single" w:sz="4" w:space="0" w:color="000000"/>
              <w:right w:val="single" w:sz="4" w:space="0" w:color="000000"/>
            </w:tcBorders>
            <w:vAlign w:val="center"/>
            <w:hideMark/>
          </w:tcPr>
          <w:p w14:paraId="6DE39238" w14:textId="07E2FED5" w:rsidR="00DE1CA0" w:rsidRDefault="00DE1CA0">
            <w:pPr>
              <w:snapToGrid w:val="0"/>
              <w:jc w:val="both"/>
              <w:rPr>
                <w:sz w:val="18"/>
              </w:rPr>
            </w:pPr>
            <w:r>
              <w:rPr>
                <w:sz w:val="18"/>
              </w:rPr>
              <w:t>Corrosion</w:t>
            </w:r>
            <w:r w:rsidR="00AD7DB6">
              <w:rPr>
                <w:sz w:val="18"/>
              </w:rPr>
              <w:t xml:space="preserve"> </w:t>
            </w:r>
            <w:r>
              <w:rPr>
                <w:sz w:val="18"/>
              </w:rPr>
              <w:t>of</w:t>
            </w:r>
            <w:r w:rsidR="00AD7DB6">
              <w:rPr>
                <w:sz w:val="18"/>
              </w:rPr>
              <w:t xml:space="preserve"> </w:t>
            </w:r>
            <w:r>
              <w:rPr>
                <w:sz w:val="18"/>
              </w:rPr>
              <w:t>household plumbing systems; erosion of natural deposits; leaching from wood preservatives</w:t>
            </w:r>
          </w:p>
        </w:tc>
      </w:tr>
      <w:tr w:rsidR="00504C2F" w14:paraId="308735D6" w14:textId="77777777" w:rsidTr="00FD7C11">
        <w:trPr>
          <w:cantSplit/>
          <w:trHeight w:val="473"/>
        </w:trPr>
        <w:tc>
          <w:tcPr>
            <w:tcW w:w="1975" w:type="dxa"/>
            <w:tcBorders>
              <w:top w:val="single" w:sz="4" w:space="0" w:color="000000"/>
              <w:left w:val="single" w:sz="4" w:space="0" w:color="000000"/>
              <w:bottom w:val="single" w:sz="4" w:space="0" w:color="000000"/>
              <w:right w:val="single" w:sz="4" w:space="0" w:color="000000"/>
            </w:tcBorders>
            <w:vAlign w:val="center"/>
          </w:tcPr>
          <w:p w14:paraId="0B7F094D" w14:textId="06274AD2" w:rsidR="00504C2F" w:rsidRDefault="00504C2F">
            <w:pPr>
              <w:snapToGrid w:val="0"/>
              <w:rPr>
                <w:sz w:val="18"/>
              </w:rPr>
            </w:pPr>
            <w:r>
              <w:rPr>
                <w:sz w:val="18"/>
              </w:rPr>
              <w:t xml:space="preserve">Lead </w:t>
            </w:r>
            <w:r w:rsidR="00F162A2">
              <w:rPr>
                <w:sz w:val="18"/>
              </w:rPr>
              <w:t>(Tap water) (ppm)</w:t>
            </w:r>
          </w:p>
        </w:tc>
        <w:tc>
          <w:tcPr>
            <w:tcW w:w="990" w:type="dxa"/>
            <w:tcBorders>
              <w:top w:val="single" w:sz="4" w:space="0" w:color="000000"/>
              <w:left w:val="single" w:sz="4" w:space="0" w:color="000000"/>
              <w:bottom w:val="single" w:sz="4" w:space="0" w:color="000000"/>
              <w:right w:val="single" w:sz="4" w:space="0" w:color="000000"/>
            </w:tcBorders>
            <w:vAlign w:val="center"/>
          </w:tcPr>
          <w:p w14:paraId="239475CA" w14:textId="73A5E114" w:rsidR="00504C2F" w:rsidRDefault="002732B9">
            <w:pPr>
              <w:snapToGrid w:val="0"/>
              <w:jc w:val="center"/>
              <w:rPr>
                <w:sz w:val="18"/>
                <w:szCs w:val="18"/>
              </w:rPr>
            </w:pPr>
            <w:r>
              <w:rPr>
                <w:sz w:val="18"/>
                <w:szCs w:val="18"/>
              </w:rPr>
              <w:t>07/21</w:t>
            </w:r>
          </w:p>
        </w:tc>
        <w:tc>
          <w:tcPr>
            <w:tcW w:w="900" w:type="dxa"/>
            <w:tcBorders>
              <w:top w:val="single" w:sz="4" w:space="0" w:color="000000"/>
              <w:left w:val="single" w:sz="4" w:space="0" w:color="000000"/>
              <w:bottom w:val="single" w:sz="4" w:space="0" w:color="000000"/>
              <w:right w:val="single" w:sz="4" w:space="0" w:color="000000"/>
            </w:tcBorders>
            <w:vAlign w:val="center"/>
          </w:tcPr>
          <w:p w14:paraId="11777D4F" w14:textId="3DB8A9F6" w:rsidR="00504C2F" w:rsidRDefault="002732B9">
            <w:pPr>
              <w:snapToGrid w:val="0"/>
              <w:jc w:val="center"/>
              <w:rPr>
                <w:sz w:val="18"/>
                <w:szCs w:val="18"/>
              </w:rPr>
            </w:pPr>
            <w:r>
              <w:rPr>
                <w:sz w:val="18"/>
                <w:szCs w:val="18"/>
              </w:rPr>
              <w:t>N</w:t>
            </w:r>
          </w:p>
        </w:tc>
        <w:tc>
          <w:tcPr>
            <w:tcW w:w="990" w:type="dxa"/>
            <w:tcBorders>
              <w:top w:val="single" w:sz="4" w:space="0" w:color="000000"/>
              <w:left w:val="single" w:sz="4" w:space="0" w:color="000000"/>
              <w:bottom w:val="single" w:sz="4" w:space="0" w:color="000000"/>
              <w:right w:val="single" w:sz="4" w:space="0" w:color="000000"/>
            </w:tcBorders>
            <w:vAlign w:val="center"/>
          </w:tcPr>
          <w:p w14:paraId="300EF8A5" w14:textId="33E4CFA9" w:rsidR="002732B9" w:rsidRDefault="007B4ECB" w:rsidP="002732B9">
            <w:pPr>
              <w:snapToGrid w:val="0"/>
              <w:rPr>
                <w:sz w:val="18"/>
                <w:szCs w:val="18"/>
              </w:rPr>
            </w:pPr>
            <w:r>
              <w:rPr>
                <w:sz w:val="18"/>
                <w:szCs w:val="18"/>
              </w:rPr>
              <w:t xml:space="preserve">   </w:t>
            </w:r>
            <w:r w:rsidR="002732B9">
              <w:rPr>
                <w:sz w:val="18"/>
                <w:szCs w:val="18"/>
              </w:rPr>
              <w:t>0.362</w:t>
            </w:r>
          </w:p>
        </w:tc>
        <w:tc>
          <w:tcPr>
            <w:tcW w:w="1358" w:type="dxa"/>
            <w:gridSpan w:val="2"/>
            <w:tcBorders>
              <w:top w:val="single" w:sz="4" w:space="0" w:color="000000"/>
              <w:left w:val="single" w:sz="4" w:space="0" w:color="000000"/>
              <w:bottom w:val="single" w:sz="4" w:space="0" w:color="000000"/>
              <w:right w:val="single" w:sz="4" w:space="0" w:color="000000"/>
            </w:tcBorders>
            <w:vAlign w:val="center"/>
          </w:tcPr>
          <w:p w14:paraId="4965AD94" w14:textId="5E2A4D7F" w:rsidR="00504C2F" w:rsidRDefault="002732B9">
            <w:pPr>
              <w:snapToGrid w:val="0"/>
              <w:jc w:val="center"/>
              <w:rPr>
                <w:sz w:val="18"/>
                <w:szCs w:val="18"/>
              </w:rPr>
            </w:pPr>
            <w:r>
              <w:rPr>
                <w:sz w:val="18"/>
                <w:szCs w:val="18"/>
              </w:rPr>
              <w:t>0</w:t>
            </w:r>
          </w:p>
        </w:tc>
        <w:tc>
          <w:tcPr>
            <w:tcW w:w="712" w:type="dxa"/>
            <w:tcBorders>
              <w:top w:val="single" w:sz="4" w:space="0" w:color="000000"/>
              <w:left w:val="single" w:sz="4" w:space="0" w:color="000000"/>
              <w:bottom w:val="single" w:sz="4" w:space="0" w:color="000000"/>
              <w:right w:val="single" w:sz="4" w:space="0" w:color="000000"/>
            </w:tcBorders>
            <w:vAlign w:val="center"/>
          </w:tcPr>
          <w:p w14:paraId="5CC0E639" w14:textId="73B8FA1A" w:rsidR="00504C2F" w:rsidRDefault="00D333C3">
            <w:pPr>
              <w:snapToGrid w:val="0"/>
              <w:jc w:val="center"/>
              <w:rPr>
                <w:sz w:val="18"/>
                <w:szCs w:val="18"/>
              </w:rPr>
            </w:pPr>
            <w:r>
              <w:rPr>
                <w:sz w:val="18"/>
                <w:szCs w:val="18"/>
              </w:rPr>
              <w:t>0</w:t>
            </w:r>
          </w:p>
        </w:tc>
        <w:tc>
          <w:tcPr>
            <w:tcW w:w="900" w:type="dxa"/>
            <w:tcBorders>
              <w:top w:val="single" w:sz="4" w:space="0" w:color="000000"/>
              <w:left w:val="single" w:sz="4" w:space="0" w:color="000000"/>
              <w:bottom w:val="single" w:sz="4" w:space="0" w:color="000000"/>
              <w:right w:val="single" w:sz="4" w:space="0" w:color="000000"/>
            </w:tcBorders>
            <w:vAlign w:val="center"/>
          </w:tcPr>
          <w:p w14:paraId="6F4D0247" w14:textId="618E95A8" w:rsidR="00504C2F" w:rsidRDefault="00D333C3">
            <w:pPr>
              <w:snapToGrid w:val="0"/>
              <w:jc w:val="center"/>
              <w:rPr>
                <w:sz w:val="18"/>
                <w:szCs w:val="18"/>
              </w:rPr>
            </w:pPr>
            <w:r>
              <w:rPr>
                <w:sz w:val="18"/>
                <w:szCs w:val="18"/>
              </w:rPr>
              <w:t>15</w:t>
            </w:r>
          </w:p>
        </w:tc>
        <w:tc>
          <w:tcPr>
            <w:tcW w:w="2610" w:type="dxa"/>
            <w:tcBorders>
              <w:top w:val="single" w:sz="4" w:space="0" w:color="000000"/>
              <w:left w:val="single" w:sz="4" w:space="0" w:color="000000"/>
              <w:bottom w:val="single" w:sz="4" w:space="0" w:color="000000"/>
              <w:right w:val="single" w:sz="4" w:space="0" w:color="000000"/>
            </w:tcBorders>
            <w:vAlign w:val="center"/>
          </w:tcPr>
          <w:p w14:paraId="785D5B5F" w14:textId="17CEC322" w:rsidR="00504C2F" w:rsidRDefault="00FD7C11">
            <w:pPr>
              <w:snapToGrid w:val="0"/>
              <w:jc w:val="both"/>
              <w:rPr>
                <w:sz w:val="18"/>
              </w:rPr>
            </w:pPr>
            <w:r w:rsidRPr="00313281">
              <w:rPr>
                <w:sz w:val="18"/>
              </w:rPr>
              <w:t>Corrosion of household plumbing systems, erosion of natural deposits</w:t>
            </w:r>
          </w:p>
        </w:tc>
      </w:tr>
    </w:tbl>
    <w:p w14:paraId="5262BA37" w14:textId="77777777" w:rsidR="00DE1CA0" w:rsidRDefault="00DE1CA0" w:rsidP="00DE1CA0">
      <w:pPr>
        <w:rPr>
          <w:vanish/>
        </w:rPr>
      </w:pPr>
    </w:p>
    <w:p w14:paraId="308EB7AF" w14:textId="77777777" w:rsidR="00DE1CA0" w:rsidRDefault="00DE1CA0" w:rsidP="00DE1CA0">
      <w:pPr>
        <w:rPr>
          <w:vanish/>
        </w:rPr>
      </w:pPr>
    </w:p>
    <w:p w14:paraId="6E297708" w14:textId="77777777" w:rsidR="00DE1CA0" w:rsidRDefault="00DE1CA0" w:rsidP="00DE1CA0">
      <w:pPr>
        <w:rPr>
          <w:vanish/>
        </w:rPr>
      </w:pPr>
    </w:p>
    <w:p w14:paraId="47C87287" w14:textId="77777777" w:rsidR="00DE1CA0" w:rsidRDefault="00DE1CA0" w:rsidP="00DE1CA0">
      <w:pPr>
        <w:rPr>
          <w:vanish/>
        </w:rPr>
      </w:pPr>
    </w:p>
    <w:p w14:paraId="5E737A79" w14:textId="77777777" w:rsidR="00DE1CA0" w:rsidRDefault="00DE1CA0" w:rsidP="00DE1CA0">
      <w:pPr>
        <w:keepNext/>
        <w:keepLines/>
        <w:tabs>
          <w:tab w:val="left" w:pos="-9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jc w:val="both"/>
      </w:pPr>
      <w:r>
        <w:tab/>
      </w:r>
    </w:p>
    <w:p w14:paraId="0F2E62EE" w14:textId="0517A196" w:rsidR="00DE1CA0" w:rsidRDefault="00DE1CA0" w:rsidP="00DE1CA0">
      <w:pPr>
        <w:keepNext/>
        <w:keepLines/>
        <w:tabs>
          <w:tab w:val="left" w:pos="-9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jc w:val="both"/>
      </w:pPr>
      <w:r>
        <w:t xml:space="preserve">If present, elevated levels of lead can cause serious health problems, especially for pregnant women and young children.  Lead in drinking water is primarily from materials and components associated with service lines and home plumbing.  Bowling Green Water Treatment Plant is responsible for providing high quality drinking </w:t>
      </w:r>
      <w:proofErr w:type="gramStart"/>
      <w:r>
        <w:t>water,</w:t>
      </w:r>
      <w:r w:rsidR="00BB3C42">
        <w:t xml:space="preserve"> </w:t>
      </w:r>
      <w:r>
        <w:t>but</w:t>
      </w:r>
      <w:proofErr w:type="gramEnd"/>
      <w:r>
        <w:t xml:space="preserve">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w:t>
      </w:r>
      <w:r w:rsidR="00D96BBB">
        <w:t xml:space="preserve"> </w:t>
      </w:r>
      <w:hyperlink r:id="rId8" w:history="1">
        <w:r w:rsidR="00D96BBB" w:rsidRPr="009D1999">
          <w:rPr>
            <w:rStyle w:val="Hyperlink"/>
          </w:rPr>
          <w:t>http://www.epa.gov/safewater/lead</w:t>
        </w:r>
      </w:hyperlink>
      <w:r>
        <w:t>.</w:t>
      </w:r>
    </w:p>
    <w:p w14:paraId="01960F52" w14:textId="77777777" w:rsidR="00DE1CA0" w:rsidRDefault="00DE1CA0" w:rsidP="00DE1CA0">
      <w:pPr>
        <w:pStyle w:val="BodyText3"/>
        <w:jc w:val="both"/>
        <w:rPr>
          <w:i w:val="0"/>
          <w:sz w:val="20"/>
        </w:rPr>
      </w:pPr>
    </w:p>
    <w:p w14:paraId="74D65B82" w14:textId="77777777" w:rsidR="00DE1CA0" w:rsidRDefault="00DE1CA0" w:rsidP="00DE1CA0">
      <w:pPr>
        <w:pStyle w:val="BodyText3"/>
        <w:jc w:val="both"/>
        <w:rPr>
          <w:i w:val="0"/>
          <w:sz w:val="20"/>
        </w:rPr>
      </w:pPr>
      <w:r>
        <w:rPr>
          <w:i w:val="0"/>
          <w:sz w:val="20"/>
        </w:rPr>
        <w:t>The sources of drinking water (both tap water and bottled water) include rivers, lakes, streams, ponds, reservoirs, springs, and wells.  As water travels over the surface of the land or through the ground, it dissolves naturally occurring minerals and, in some cases, radioactive material, and can pick up substances resulting from the presence of animals or from human activity.</w:t>
      </w:r>
    </w:p>
    <w:p w14:paraId="5E817633" w14:textId="77777777" w:rsidR="00DE1CA0" w:rsidRDefault="00DE1CA0" w:rsidP="00DE1CA0">
      <w:pPr>
        <w:jc w:val="both"/>
      </w:pPr>
    </w:p>
    <w:p w14:paraId="6DAA660D" w14:textId="13061552" w:rsidR="00DE1CA0" w:rsidRDefault="00DE1CA0" w:rsidP="00DE1CA0">
      <w:pPr>
        <w:jc w:val="both"/>
      </w:pPr>
      <w:r>
        <w:t>Contaminants that may be present in source water include:</w:t>
      </w:r>
    </w:p>
    <w:p w14:paraId="3D19FE4E" w14:textId="77777777" w:rsidR="00DE1CA0" w:rsidRDefault="00DE1CA0" w:rsidP="00DE1CA0">
      <w:pPr>
        <w:jc w:val="both"/>
      </w:pPr>
    </w:p>
    <w:p w14:paraId="293DBA4C" w14:textId="77777777" w:rsidR="00DE1CA0" w:rsidRDefault="00DE1CA0" w:rsidP="00DE1CA0">
      <w:pPr>
        <w:jc w:val="both"/>
      </w:pPr>
      <w:r>
        <w:rPr>
          <w:b/>
        </w:rPr>
        <w:t>(A)</w:t>
      </w:r>
      <w:r>
        <w:tab/>
      </w:r>
      <w:r w:rsidRPr="00165DEB">
        <w:rPr>
          <w:i/>
        </w:rPr>
        <w:t>Microbial contaminants,</w:t>
      </w:r>
      <w:r>
        <w:t xml:space="preserve"> such as viruses and bacteria, which may come from sewage treatment</w:t>
      </w:r>
    </w:p>
    <w:p w14:paraId="4020C5C8" w14:textId="77777777" w:rsidR="00DE1CA0" w:rsidRDefault="00DE1CA0" w:rsidP="00DE1CA0">
      <w:pPr>
        <w:jc w:val="both"/>
      </w:pPr>
      <w:r>
        <w:t xml:space="preserve">              plants, septic systems, agricultural livestock operations, and wildlife.</w:t>
      </w:r>
    </w:p>
    <w:p w14:paraId="44507122" w14:textId="77777777" w:rsidR="00DE1CA0" w:rsidRDefault="00DE1CA0" w:rsidP="00DE1CA0">
      <w:pPr>
        <w:ind w:left="720" w:hanging="720"/>
        <w:jc w:val="both"/>
      </w:pPr>
      <w:r>
        <w:rPr>
          <w:b/>
        </w:rPr>
        <w:t>(B)</w:t>
      </w:r>
      <w:r>
        <w:tab/>
      </w:r>
      <w:r>
        <w:rPr>
          <w:rStyle w:val="Emphasis"/>
        </w:rPr>
        <w:t>Inorganic contaminants,</w:t>
      </w:r>
      <w:r>
        <w:t xml:space="preserve"> such as salts and metals, which can be </w:t>
      </w:r>
      <w:proofErr w:type="gramStart"/>
      <w:r>
        <w:t>naturally-occurring</w:t>
      </w:r>
      <w:proofErr w:type="gramEnd"/>
      <w:r>
        <w:t xml:space="preserve"> or result from urban stormwater runoff, industrial or domestic wastewater discharges, oil and gas production, mining, or farming.</w:t>
      </w:r>
    </w:p>
    <w:p w14:paraId="5D10F945" w14:textId="77777777" w:rsidR="00DE1CA0" w:rsidRDefault="00DE1CA0" w:rsidP="00DE1CA0">
      <w:pPr>
        <w:ind w:left="720" w:hanging="720"/>
        <w:jc w:val="both"/>
      </w:pPr>
      <w:r>
        <w:rPr>
          <w:b/>
        </w:rPr>
        <w:t>(C)</w:t>
      </w:r>
      <w:r>
        <w:tab/>
      </w:r>
      <w:r>
        <w:rPr>
          <w:rStyle w:val="Emphasis"/>
        </w:rPr>
        <w:t>Pesticides and herbicides,</w:t>
      </w:r>
      <w:r>
        <w:t xml:space="preserve"> which may come from a variety of sources such as agriculture, urban stormwater runoff, and residential uses.</w:t>
      </w:r>
    </w:p>
    <w:p w14:paraId="6F37B6B0" w14:textId="77777777" w:rsidR="00DE1CA0" w:rsidRDefault="00DE1CA0" w:rsidP="00DE1CA0">
      <w:pPr>
        <w:ind w:left="720" w:hanging="720"/>
        <w:jc w:val="both"/>
      </w:pPr>
      <w:r>
        <w:rPr>
          <w:b/>
        </w:rPr>
        <w:lastRenderedPageBreak/>
        <w:t>(D)</w:t>
      </w:r>
      <w:r>
        <w:tab/>
      </w:r>
      <w:r>
        <w:rPr>
          <w:rStyle w:val="Emphasis"/>
        </w:rPr>
        <w:t xml:space="preserve">Organic chemical contaminants, </w:t>
      </w:r>
      <w:r>
        <w:t>including synthetic and volatile organic chemicals, which are by-products of industrial processes and petroleum production, and can also come from gas stations, urban stormwater runoff, and septic systems.</w:t>
      </w:r>
    </w:p>
    <w:p w14:paraId="476869FC" w14:textId="77777777" w:rsidR="00DE1CA0" w:rsidRDefault="00DE1CA0" w:rsidP="00DE1CA0">
      <w:pPr>
        <w:ind w:left="720" w:hanging="720"/>
        <w:jc w:val="both"/>
      </w:pPr>
      <w:r>
        <w:rPr>
          <w:b/>
        </w:rPr>
        <w:t>(E)</w:t>
      </w:r>
      <w:r>
        <w:tab/>
      </w:r>
      <w:r>
        <w:rPr>
          <w:rStyle w:val="Emphasis"/>
        </w:rPr>
        <w:t xml:space="preserve">Radioactive contaminants, </w:t>
      </w:r>
      <w:r>
        <w:t>which can be naturally occurring or be the result of oil and gas production and mining activities.</w:t>
      </w:r>
    </w:p>
    <w:p w14:paraId="0BB6BFB1" w14:textId="77777777" w:rsidR="00DE1CA0" w:rsidRDefault="00DE1CA0" w:rsidP="00DE1CA0">
      <w:pPr>
        <w:jc w:val="both"/>
      </w:pPr>
    </w:p>
    <w:p w14:paraId="7CE4A64A" w14:textId="77777777" w:rsidR="00DE1CA0" w:rsidRDefault="00165DEB" w:rsidP="00DE1CA0">
      <w:pPr>
        <w:pStyle w:val="BodyText3"/>
        <w:jc w:val="both"/>
        <w:rPr>
          <w:i w:val="0"/>
          <w:sz w:val="20"/>
        </w:rPr>
      </w:pPr>
      <w:r>
        <w:rPr>
          <w:i w:val="0"/>
          <w:sz w:val="20"/>
        </w:rPr>
        <w:t>T</w:t>
      </w:r>
      <w:r w:rsidR="00DE1CA0">
        <w:rPr>
          <w:i w:val="0"/>
          <w:sz w:val="20"/>
        </w:rPr>
        <w:t xml:space="preserve">o ensure that tap water is safe to drink, the EPA prescribes regulations, which limit the </w:t>
      </w:r>
      <w:proofErr w:type="gramStart"/>
      <w:r w:rsidR="00DE1CA0">
        <w:rPr>
          <w:i w:val="0"/>
          <w:sz w:val="20"/>
        </w:rPr>
        <w:t>amount</w:t>
      </w:r>
      <w:proofErr w:type="gramEnd"/>
      <w:r w:rsidR="00DE1CA0">
        <w:rPr>
          <w:i w:val="0"/>
          <w:sz w:val="20"/>
        </w:rPr>
        <w:t xml:space="preserve"> of certain contaminants in water provided by public water systems.  The Food and Drug Administration (FDA) regulations establish limits for contaminants in bottled water, which must provide the same protection for public health.</w:t>
      </w:r>
    </w:p>
    <w:p w14:paraId="6ACC5F8A" w14:textId="77777777" w:rsidR="00DE1CA0" w:rsidRDefault="00DE1CA0" w:rsidP="00DE1CA0">
      <w:pPr>
        <w:pStyle w:val="BodyText3"/>
        <w:jc w:val="both"/>
        <w:rPr>
          <w:i w:val="0"/>
          <w:sz w:val="20"/>
        </w:rPr>
      </w:pPr>
    </w:p>
    <w:p w14:paraId="3D7A184F" w14:textId="77777777" w:rsidR="00DE1CA0" w:rsidRDefault="00DE1CA0" w:rsidP="00DE1CA0">
      <w:pPr>
        <w:pStyle w:val="BodyText3"/>
        <w:jc w:val="both"/>
        <w:rPr>
          <w:i w:val="0"/>
          <w:sz w:val="20"/>
        </w:rPr>
      </w:pPr>
      <w:r>
        <w:rPr>
          <w:i w:val="0"/>
          <w:sz w:val="20"/>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EPA’s Safe Drinking Water Hotline at 1-800-426-4791.</w:t>
      </w:r>
    </w:p>
    <w:p w14:paraId="10036D30" w14:textId="77777777" w:rsidR="00DE1CA0" w:rsidRDefault="00DE1CA0" w:rsidP="00DE1CA0">
      <w:pPr>
        <w:pStyle w:val="BodyText3"/>
        <w:jc w:val="both"/>
        <w:rPr>
          <w:i w:val="0"/>
          <w:sz w:val="20"/>
        </w:rPr>
      </w:pPr>
    </w:p>
    <w:p w14:paraId="6E807FC9" w14:textId="77777777" w:rsidR="00DE1CA0" w:rsidRDefault="00DE1CA0" w:rsidP="00DE1CA0">
      <w:pPr>
        <w:pStyle w:val="BodyText3"/>
        <w:jc w:val="both"/>
        <w:rPr>
          <w:i w:val="0"/>
          <w:sz w:val="20"/>
        </w:rPr>
      </w:pPr>
      <w:r>
        <w:rPr>
          <w:i w:val="0"/>
          <w:sz w:val="20"/>
        </w:rPr>
        <w:t>In our continuing efforts to maintain a safe and dependable water supply, it may be necessary to make improvements in your water system. The costs of these improvements may be reflected in the rate structure. Thank you for understanding and for allowing us to continue providing your family with clean, quality water this year.</w:t>
      </w:r>
    </w:p>
    <w:p w14:paraId="52B32872" w14:textId="77777777" w:rsidR="00DE1CA0" w:rsidRDefault="00DE1CA0" w:rsidP="00DE1CA0">
      <w:pPr>
        <w:jc w:val="both"/>
        <w:rPr>
          <w:b/>
        </w:rPr>
      </w:pPr>
    </w:p>
    <w:p w14:paraId="3E2382F1" w14:textId="3470165B" w:rsidR="00DE1CA0" w:rsidRDefault="00DE1CA0" w:rsidP="00DE1CA0">
      <w:pPr>
        <w:pStyle w:val="BodyText3"/>
        <w:jc w:val="both"/>
        <w:rPr>
          <w:i w:val="0"/>
          <w:sz w:val="20"/>
        </w:rPr>
      </w:pPr>
      <w:r>
        <w:rPr>
          <w:i w:val="0"/>
          <w:sz w:val="20"/>
        </w:rP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w:t>
      </w:r>
      <w:r w:rsidR="00D96BBB">
        <w:rPr>
          <w:i w:val="0"/>
          <w:sz w:val="20"/>
        </w:rPr>
        <w:t>enter for Disease Control (C</w:t>
      </w:r>
      <w:r>
        <w:rPr>
          <w:i w:val="0"/>
          <w:sz w:val="20"/>
        </w:rPr>
        <w:t>DC</w:t>
      </w:r>
      <w:r w:rsidR="00D96BBB">
        <w:rPr>
          <w:i w:val="0"/>
          <w:sz w:val="20"/>
        </w:rPr>
        <w:t>)</w:t>
      </w:r>
      <w:r>
        <w:rPr>
          <w:i w:val="0"/>
          <w:sz w:val="20"/>
        </w:rPr>
        <w:t xml:space="preserve"> guidelines on appropriate means to lessen the risk of infection by Cryptosporidium and other microbiological contaminants are available from the Safe Drinking Water Hotline (800-426-4791).</w:t>
      </w:r>
    </w:p>
    <w:p w14:paraId="042DCD9A" w14:textId="77777777" w:rsidR="00DF44EC" w:rsidRDefault="00DF44EC" w:rsidP="00DB10B2"/>
    <w:p w14:paraId="19DD43AA" w14:textId="7BC06594" w:rsidR="00DB10B2" w:rsidRPr="00AD7DB6" w:rsidRDefault="00DB10B2" w:rsidP="00DB10B2">
      <w:pPr>
        <w:rPr>
          <w:i/>
          <w:iCs/>
          <w:lang w:eastAsia="en-US"/>
        </w:rPr>
      </w:pPr>
      <w:r w:rsidRPr="001C7903">
        <w:t>“</w:t>
      </w:r>
      <w:r w:rsidRPr="001C7903">
        <w:rPr>
          <w:i/>
          <w:iCs/>
        </w:rPr>
        <w:t>We failed to complete required sampling for synthetic organic contaminants (SOCs) on time and therefore were in violation of monitoring and reporting requirements. Because we did not take the required samples during the triennial monitoring period of January 2019 through December 2021, we did not know whether the contaminants were present in your drinking water, and we are unable to tell you whether your health was at risk during that time. We completed all corrective actions to address this violation including issuing a public notice. Makeup sampling was performed on January 31</w:t>
      </w:r>
      <w:r w:rsidR="006E1536" w:rsidRPr="001C7903">
        <w:rPr>
          <w:i/>
          <w:iCs/>
          <w:vertAlign w:val="superscript"/>
        </w:rPr>
        <w:t>st</w:t>
      </w:r>
      <w:r w:rsidR="001C7903" w:rsidRPr="001C7903">
        <w:rPr>
          <w:i/>
          <w:iCs/>
          <w:vertAlign w:val="superscript"/>
        </w:rPr>
        <w:t>,</w:t>
      </w:r>
      <w:r w:rsidR="001C7903" w:rsidRPr="001C7903">
        <w:rPr>
          <w:i/>
          <w:iCs/>
        </w:rPr>
        <w:t>2022</w:t>
      </w:r>
    </w:p>
    <w:p w14:paraId="58797F96" w14:textId="7E6508EB" w:rsidR="00DB10B2" w:rsidRDefault="00DB10B2" w:rsidP="00DB10B2">
      <w:pPr>
        <w:rPr>
          <w:sz w:val="24"/>
          <w:szCs w:val="24"/>
        </w:rPr>
      </w:pPr>
    </w:p>
    <w:p w14:paraId="0514269F" w14:textId="77777777" w:rsidR="002314C1" w:rsidRDefault="002314C1" w:rsidP="00DB10B2">
      <w:pPr>
        <w:rPr>
          <w:sz w:val="24"/>
          <w:szCs w:val="24"/>
        </w:rPr>
      </w:pPr>
    </w:p>
    <w:p w14:paraId="7363361C" w14:textId="77777777" w:rsidR="00DE1CA0" w:rsidRDefault="00DE1CA0" w:rsidP="00DE1CA0">
      <w:pPr>
        <w:keepNext/>
        <w:keepLines/>
        <w:jc w:val="both"/>
      </w:pPr>
      <w:r>
        <w:tab/>
      </w:r>
    </w:p>
    <w:p w14:paraId="401FB2DA" w14:textId="77777777" w:rsidR="00DE1CA0" w:rsidRDefault="00DE1CA0" w:rsidP="00DE1CA0">
      <w:pPr>
        <w:keepNext/>
        <w:keepLines/>
        <w:jc w:val="both"/>
      </w:pPr>
      <w:r>
        <w:t>We at the City of Bowling Green</w:t>
      </w:r>
      <w:r>
        <w:rPr>
          <w:b/>
        </w:rPr>
        <w:t xml:space="preserve"> </w:t>
      </w:r>
      <w:r>
        <w:t xml:space="preserve">are committed to </w:t>
      </w:r>
      <w:proofErr w:type="gramStart"/>
      <w:r>
        <w:t>insuring</w:t>
      </w:r>
      <w:proofErr w:type="gramEnd"/>
      <w:r>
        <w:t xml:space="preserve"> the quality of your water and work around the clock to provide top quality water to every tap. We would like you to understand the efforts we make to continually improve the water treatment process and protect our water resources. We ask that all our customers help us protect our water sources, which are the heart of our community, our way of life and our children’s future.</w:t>
      </w:r>
    </w:p>
    <w:p w14:paraId="1B1D3794" w14:textId="77777777" w:rsidR="00DE1CA0" w:rsidRDefault="00DE1CA0" w:rsidP="00DE1CA0">
      <w:pPr>
        <w:keepNext/>
        <w:keepLines/>
        <w:jc w:val="both"/>
      </w:pPr>
    </w:p>
    <w:p w14:paraId="4AE9EF33" w14:textId="77777777" w:rsidR="00DE1CA0" w:rsidRDefault="00DE1CA0" w:rsidP="00DE1CA0">
      <w:pPr>
        <w:keepNext/>
        <w:keepLines/>
        <w:jc w:val="both"/>
      </w:pPr>
      <w:r>
        <w:t>If you have any questions or concerns about the information provided, please feel free to call any of the numbers listed.</w:t>
      </w:r>
    </w:p>
    <w:p w14:paraId="0B8A477B" w14:textId="77777777" w:rsidR="0079106A" w:rsidRDefault="0079106A"/>
    <w:sectPr w:rsidR="0079106A" w:rsidSect="00312E27">
      <w:pgSz w:w="12240" w:h="15840"/>
      <w:pgMar w:top="1440" w:right="990" w:bottom="1440" w:left="13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lvlText w:val=""/>
      <w:lvlJc w:val="left"/>
      <w:pPr>
        <w:tabs>
          <w:tab w:val="num" w:pos="432"/>
        </w:tabs>
        <w:ind w:left="432" w:hanging="432"/>
      </w:pPr>
      <w:rPr>
        <w:rFonts w:cs="Times New Roman"/>
      </w:rPr>
    </w:lvl>
    <w:lvl w:ilvl="1">
      <w:start w:val="1"/>
      <w:numFmt w:val="none"/>
      <w:pStyle w:val="Heading2"/>
      <w:lvlText w:val=""/>
      <w:lvlJc w:val="left"/>
      <w:pPr>
        <w:tabs>
          <w:tab w:val="num" w:pos="576"/>
        </w:tabs>
        <w:ind w:left="576" w:hanging="576"/>
      </w:pPr>
      <w:rPr>
        <w:rFonts w:cs="Times New Roman"/>
      </w:rPr>
    </w:lvl>
    <w:lvl w:ilvl="2">
      <w:start w:val="1"/>
      <w:numFmt w:val="none"/>
      <w:pStyle w:val="Heading3"/>
      <w:lvlText w:val=""/>
      <w:lvlJc w:val="left"/>
      <w:pPr>
        <w:tabs>
          <w:tab w:val="num" w:pos="720"/>
        </w:tabs>
        <w:ind w:left="720" w:hanging="720"/>
      </w:pPr>
      <w:rPr>
        <w:rFonts w:cs="Times New Roman"/>
      </w:rPr>
    </w:lvl>
    <w:lvl w:ilvl="3">
      <w:start w:val="1"/>
      <w:numFmt w:val="none"/>
      <w:pStyle w:val="Heading4"/>
      <w:lvlText w:val=""/>
      <w:lvlJc w:val="left"/>
      <w:pPr>
        <w:tabs>
          <w:tab w:val="num" w:pos="864"/>
        </w:tabs>
        <w:ind w:left="864" w:hanging="864"/>
      </w:pPr>
      <w:rPr>
        <w:rFonts w:cs="Times New Roman"/>
      </w:rPr>
    </w:lvl>
    <w:lvl w:ilvl="4">
      <w:start w:val="1"/>
      <w:numFmt w:val="none"/>
      <w:pStyle w:val="Heading5"/>
      <w:lvlText w:val=""/>
      <w:lvlJc w:val="left"/>
      <w:pPr>
        <w:tabs>
          <w:tab w:val="num" w:pos="1008"/>
        </w:tabs>
        <w:ind w:left="1008" w:hanging="1008"/>
      </w:pPr>
      <w:rPr>
        <w:rFonts w:cs="Times New Roman"/>
      </w:rPr>
    </w:lvl>
    <w:lvl w:ilvl="5">
      <w:start w:val="1"/>
      <w:numFmt w:val="none"/>
      <w:pStyle w:val="Heading6"/>
      <w:lvlText w:val=""/>
      <w:lvlJc w:val="left"/>
      <w:pPr>
        <w:tabs>
          <w:tab w:val="num" w:pos="1152"/>
        </w:tabs>
        <w:ind w:left="1152" w:hanging="1152"/>
      </w:pPr>
      <w:rPr>
        <w:rFonts w:cs="Times New Roman"/>
      </w:rPr>
    </w:lvl>
    <w:lvl w:ilvl="6">
      <w:start w:val="1"/>
      <w:numFmt w:val="none"/>
      <w:pStyle w:val="Heading7"/>
      <w:lvlText w:val=""/>
      <w:lvlJc w:val="left"/>
      <w:pPr>
        <w:tabs>
          <w:tab w:val="num" w:pos="1296"/>
        </w:tabs>
        <w:ind w:left="1296" w:hanging="1296"/>
      </w:pPr>
      <w:rPr>
        <w:rFonts w:cs="Times New Roman"/>
      </w:rPr>
    </w:lvl>
    <w:lvl w:ilvl="7">
      <w:start w:val="1"/>
      <w:numFmt w:val="none"/>
      <w:pStyle w:val="Heading8"/>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num w:numId="1" w16cid:durableId="16726807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1CA0"/>
    <w:rsid w:val="00021327"/>
    <w:rsid w:val="00040C7E"/>
    <w:rsid w:val="00072BFE"/>
    <w:rsid w:val="000A5E3F"/>
    <w:rsid w:val="000B2F3F"/>
    <w:rsid w:val="001549CA"/>
    <w:rsid w:val="00165DEB"/>
    <w:rsid w:val="001A6E0F"/>
    <w:rsid w:val="001C7903"/>
    <w:rsid w:val="002044DD"/>
    <w:rsid w:val="00211439"/>
    <w:rsid w:val="002314C1"/>
    <w:rsid w:val="002732B9"/>
    <w:rsid w:val="002A48FD"/>
    <w:rsid w:val="002E5326"/>
    <w:rsid w:val="003040F3"/>
    <w:rsid w:val="00306127"/>
    <w:rsid w:val="00312E27"/>
    <w:rsid w:val="00315479"/>
    <w:rsid w:val="003608CA"/>
    <w:rsid w:val="003835A3"/>
    <w:rsid w:val="00394A4E"/>
    <w:rsid w:val="004845B3"/>
    <w:rsid w:val="004A1B31"/>
    <w:rsid w:val="004C2952"/>
    <w:rsid w:val="004C5510"/>
    <w:rsid w:val="004E1CB3"/>
    <w:rsid w:val="004E2B07"/>
    <w:rsid w:val="004E4045"/>
    <w:rsid w:val="00504C2F"/>
    <w:rsid w:val="00506CBA"/>
    <w:rsid w:val="00570238"/>
    <w:rsid w:val="00571F82"/>
    <w:rsid w:val="00580318"/>
    <w:rsid w:val="00591924"/>
    <w:rsid w:val="005A4233"/>
    <w:rsid w:val="005C4F61"/>
    <w:rsid w:val="005D1ABF"/>
    <w:rsid w:val="005F6A3F"/>
    <w:rsid w:val="00695643"/>
    <w:rsid w:val="006D0021"/>
    <w:rsid w:val="006E1536"/>
    <w:rsid w:val="007008FB"/>
    <w:rsid w:val="00711960"/>
    <w:rsid w:val="00721E92"/>
    <w:rsid w:val="00731FC6"/>
    <w:rsid w:val="0079106A"/>
    <w:rsid w:val="0079312A"/>
    <w:rsid w:val="007B4ECB"/>
    <w:rsid w:val="007D740D"/>
    <w:rsid w:val="0080044E"/>
    <w:rsid w:val="00812B2B"/>
    <w:rsid w:val="00840E77"/>
    <w:rsid w:val="00906BAB"/>
    <w:rsid w:val="009153CD"/>
    <w:rsid w:val="00927699"/>
    <w:rsid w:val="00935FBA"/>
    <w:rsid w:val="009641CC"/>
    <w:rsid w:val="00965995"/>
    <w:rsid w:val="00994003"/>
    <w:rsid w:val="009A76F7"/>
    <w:rsid w:val="009D088F"/>
    <w:rsid w:val="00A15AD1"/>
    <w:rsid w:val="00A22B25"/>
    <w:rsid w:val="00A421CD"/>
    <w:rsid w:val="00A76927"/>
    <w:rsid w:val="00A825B2"/>
    <w:rsid w:val="00A943DC"/>
    <w:rsid w:val="00AB32A6"/>
    <w:rsid w:val="00AD7DB6"/>
    <w:rsid w:val="00AF6AF9"/>
    <w:rsid w:val="00B02F62"/>
    <w:rsid w:val="00B0741D"/>
    <w:rsid w:val="00B223ED"/>
    <w:rsid w:val="00B57C81"/>
    <w:rsid w:val="00BB3C42"/>
    <w:rsid w:val="00BB47EB"/>
    <w:rsid w:val="00BF0237"/>
    <w:rsid w:val="00C57F62"/>
    <w:rsid w:val="00C74C4C"/>
    <w:rsid w:val="00CD7FD1"/>
    <w:rsid w:val="00CE085A"/>
    <w:rsid w:val="00CE39E6"/>
    <w:rsid w:val="00CF46E5"/>
    <w:rsid w:val="00CF6AD0"/>
    <w:rsid w:val="00D049B6"/>
    <w:rsid w:val="00D333C3"/>
    <w:rsid w:val="00D419CA"/>
    <w:rsid w:val="00D96BBB"/>
    <w:rsid w:val="00DB10B2"/>
    <w:rsid w:val="00DB50C4"/>
    <w:rsid w:val="00DE1CA0"/>
    <w:rsid w:val="00DF44EC"/>
    <w:rsid w:val="00E3371C"/>
    <w:rsid w:val="00E43253"/>
    <w:rsid w:val="00E75780"/>
    <w:rsid w:val="00E76AE4"/>
    <w:rsid w:val="00E87E2D"/>
    <w:rsid w:val="00EA1F6A"/>
    <w:rsid w:val="00EE756B"/>
    <w:rsid w:val="00F02F6E"/>
    <w:rsid w:val="00F162A2"/>
    <w:rsid w:val="00F221F0"/>
    <w:rsid w:val="00F63DBE"/>
    <w:rsid w:val="00F67F03"/>
    <w:rsid w:val="00F824E1"/>
    <w:rsid w:val="00FB4A11"/>
    <w:rsid w:val="00FB7E24"/>
    <w:rsid w:val="00FD7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4BCAE"/>
  <w15:chartTrackingRefBased/>
  <w15:docId w15:val="{6CB87CEA-DFF0-48DB-B522-36E140000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1CA0"/>
    <w:pPr>
      <w:suppressAutoHyphens/>
      <w:spacing w:after="0" w:line="240" w:lineRule="auto"/>
    </w:pPr>
    <w:rPr>
      <w:rFonts w:ascii="Times New Roman" w:eastAsia="Times New Roman" w:hAnsi="Times New Roman" w:cs="Times New Roman"/>
      <w:sz w:val="20"/>
      <w:szCs w:val="20"/>
      <w:lang w:eastAsia="ar-SA"/>
    </w:rPr>
  </w:style>
  <w:style w:type="paragraph" w:styleId="Heading1">
    <w:name w:val="heading 1"/>
    <w:basedOn w:val="Normal"/>
    <w:next w:val="Normal"/>
    <w:link w:val="Heading1Char"/>
    <w:uiPriority w:val="9"/>
    <w:qFormat/>
    <w:rsid w:val="00DE1CA0"/>
    <w:pPr>
      <w:keepNext/>
      <w:widowControl w:val="0"/>
      <w:numPr>
        <w:numId w:val="1"/>
      </w:numPr>
      <w:spacing w:before="240" w:after="60"/>
      <w:outlineLvl w:val="0"/>
    </w:pPr>
    <w:rPr>
      <w:rFonts w:ascii="Arial" w:hAnsi="Arial"/>
      <w:b/>
      <w:kern w:val="2"/>
      <w:sz w:val="28"/>
    </w:rPr>
  </w:style>
  <w:style w:type="paragraph" w:styleId="Heading2">
    <w:name w:val="heading 2"/>
    <w:basedOn w:val="Normal"/>
    <w:next w:val="Normal"/>
    <w:link w:val="Heading2Char"/>
    <w:uiPriority w:val="9"/>
    <w:semiHidden/>
    <w:unhideWhenUsed/>
    <w:qFormat/>
    <w:rsid w:val="00DE1CA0"/>
    <w:pPr>
      <w:keepNext/>
      <w:numPr>
        <w:ilvl w:val="1"/>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0"/>
      <w:outlineLvl w:val="1"/>
    </w:pPr>
    <w:rPr>
      <w:sz w:val="24"/>
    </w:rPr>
  </w:style>
  <w:style w:type="paragraph" w:styleId="Heading3">
    <w:name w:val="heading 3"/>
    <w:basedOn w:val="Normal"/>
    <w:next w:val="Normal"/>
    <w:link w:val="Heading3Char"/>
    <w:uiPriority w:val="9"/>
    <w:semiHidden/>
    <w:unhideWhenUsed/>
    <w:qFormat/>
    <w:rsid w:val="00DE1CA0"/>
    <w:pPr>
      <w:keepNext/>
      <w:widowControl w:val="0"/>
      <w:numPr>
        <w:ilvl w:val="2"/>
        <w:numId w:val="1"/>
      </w:numPr>
      <w:spacing w:before="240" w:after="60"/>
      <w:outlineLvl w:val="2"/>
    </w:pPr>
    <w:rPr>
      <w:rFonts w:ascii="Arial" w:hAnsi="Arial"/>
      <w:sz w:val="24"/>
    </w:rPr>
  </w:style>
  <w:style w:type="paragraph" w:styleId="Heading4">
    <w:name w:val="heading 4"/>
    <w:basedOn w:val="Normal"/>
    <w:next w:val="Normal"/>
    <w:link w:val="Heading4Char"/>
    <w:uiPriority w:val="9"/>
    <w:semiHidden/>
    <w:unhideWhenUsed/>
    <w:qFormat/>
    <w:rsid w:val="00DE1CA0"/>
    <w:pPr>
      <w:keepNext/>
      <w:numPr>
        <w:ilvl w:val="3"/>
        <w:numId w:val="1"/>
      </w:numPr>
      <w:tabs>
        <w:tab w:val="left" w:pos="-90"/>
        <w:tab w:val="left" w:pos="630"/>
        <w:tab w:val="left" w:pos="99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outlineLvl w:val="3"/>
    </w:pPr>
    <w:rPr>
      <w:b/>
      <w:sz w:val="36"/>
    </w:rPr>
  </w:style>
  <w:style w:type="paragraph" w:styleId="Heading5">
    <w:name w:val="heading 5"/>
    <w:basedOn w:val="Normal"/>
    <w:next w:val="Normal"/>
    <w:link w:val="Heading5Char"/>
    <w:uiPriority w:val="9"/>
    <w:semiHidden/>
    <w:unhideWhenUsed/>
    <w:qFormat/>
    <w:rsid w:val="00DE1CA0"/>
    <w:pPr>
      <w:keepNext/>
      <w:numPr>
        <w:ilvl w:val="4"/>
        <w:numId w:val="1"/>
      </w:numPr>
      <w:outlineLvl w:val="4"/>
    </w:pPr>
    <w:rPr>
      <w:b/>
      <w:sz w:val="16"/>
    </w:rPr>
  </w:style>
  <w:style w:type="paragraph" w:styleId="Heading6">
    <w:name w:val="heading 6"/>
    <w:basedOn w:val="Normal"/>
    <w:next w:val="Normal"/>
    <w:link w:val="Heading6Char"/>
    <w:uiPriority w:val="9"/>
    <w:semiHidden/>
    <w:unhideWhenUsed/>
    <w:qFormat/>
    <w:rsid w:val="00DE1CA0"/>
    <w:pPr>
      <w:keepNext/>
      <w:keepLines/>
      <w:numPr>
        <w:ilvl w:val="5"/>
        <w:numId w:val="1"/>
      </w:numPr>
      <w:jc w:val="center"/>
      <w:outlineLvl w:val="5"/>
    </w:pPr>
    <w:rPr>
      <w:b/>
      <w:sz w:val="36"/>
    </w:rPr>
  </w:style>
  <w:style w:type="paragraph" w:styleId="Heading7">
    <w:name w:val="heading 7"/>
    <w:basedOn w:val="Normal"/>
    <w:next w:val="Normal"/>
    <w:link w:val="Heading7Char"/>
    <w:uiPriority w:val="9"/>
    <w:semiHidden/>
    <w:unhideWhenUsed/>
    <w:qFormat/>
    <w:rsid w:val="00DE1CA0"/>
    <w:pPr>
      <w:keepNext/>
      <w:keepLines/>
      <w:pageBreakBefore/>
      <w:numPr>
        <w:ilvl w:val="6"/>
        <w:numId w:val="1"/>
      </w:numPr>
      <w:pBdr>
        <w:top w:val="single" w:sz="4" w:space="1" w:color="000000"/>
        <w:left w:val="single" w:sz="4" w:space="4" w:color="000000"/>
        <w:bottom w:val="single" w:sz="4" w:space="1" w:color="000000"/>
        <w:right w:val="single" w:sz="4" w:space="4" w:color="000000"/>
      </w:pBdr>
      <w:shd w:val="clear" w:color="auto" w:fill="CCCCCC"/>
      <w:tabs>
        <w:tab w:val="left" w:pos="-90"/>
        <w:tab w:val="left" w:pos="2070"/>
        <w:tab w:val="left" w:pos="3870"/>
        <w:tab w:val="left" w:pos="5670"/>
        <w:tab w:val="left" w:pos="7830"/>
        <w:tab w:val="left" w:pos="8550"/>
        <w:tab w:val="left" w:pos="9270"/>
      </w:tabs>
      <w:jc w:val="center"/>
      <w:outlineLvl w:val="6"/>
    </w:pPr>
    <w:rPr>
      <w:b/>
      <w:sz w:val="32"/>
    </w:rPr>
  </w:style>
  <w:style w:type="paragraph" w:styleId="Heading8">
    <w:name w:val="heading 8"/>
    <w:basedOn w:val="Normal"/>
    <w:next w:val="Normal"/>
    <w:link w:val="Heading8Char"/>
    <w:uiPriority w:val="9"/>
    <w:semiHidden/>
    <w:unhideWhenUsed/>
    <w:qFormat/>
    <w:rsid w:val="00DE1CA0"/>
    <w:pPr>
      <w:keepNext/>
      <w:numPr>
        <w:ilvl w:val="7"/>
        <w:numId w:val="1"/>
      </w:numPr>
      <w:pBdr>
        <w:top w:val="single" w:sz="4" w:space="1" w:color="C0C0C0"/>
        <w:left w:val="single" w:sz="4" w:space="4" w:color="C0C0C0"/>
        <w:bottom w:val="single" w:sz="4" w:space="1" w:color="C0C0C0"/>
        <w:right w:val="single" w:sz="4" w:space="4" w:color="C0C0C0"/>
      </w:pBdr>
      <w:jc w:val="center"/>
      <w:outlineLvl w:val="7"/>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1CA0"/>
    <w:rPr>
      <w:rFonts w:ascii="Arial" w:eastAsia="Times New Roman" w:hAnsi="Arial" w:cs="Times New Roman"/>
      <w:b/>
      <w:kern w:val="2"/>
      <w:sz w:val="28"/>
      <w:szCs w:val="20"/>
      <w:lang w:eastAsia="ar-SA"/>
    </w:rPr>
  </w:style>
  <w:style w:type="character" w:customStyle="1" w:styleId="Heading2Char">
    <w:name w:val="Heading 2 Char"/>
    <w:basedOn w:val="DefaultParagraphFont"/>
    <w:link w:val="Heading2"/>
    <w:uiPriority w:val="9"/>
    <w:semiHidden/>
    <w:rsid w:val="00DE1CA0"/>
    <w:rPr>
      <w:rFonts w:ascii="Times New Roman" w:eastAsia="Times New Roman" w:hAnsi="Times New Roman" w:cs="Times New Roman"/>
      <w:sz w:val="24"/>
      <w:szCs w:val="20"/>
      <w:lang w:eastAsia="ar-SA"/>
    </w:rPr>
  </w:style>
  <w:style w:type="character" w:customStyle="1" w:styleId="Heading3Char">
    <w:name w:val="Heading 3 Char"/>
    <w:basedOn w:val="DefaultParagraphFont"/>
    <w:link w:val="Heading3"/>
    <w:uiPriority w:val="9"/>
    <w:semiHidden/>
    <w:rsid w:val="00DE1CA0"/>
    <w:rPr>
      <w:rFonts w:ascii="Arial" w:eastAsia="Times New Roman" w:hAnsi="Arial" w:cs="Times New Roman"/>
      <w:sz w:val="24"/>
      <w:szCs w:val="20"/>
      <w:lang w:eastAsia="ar-SA"/>
    </w:rPr>
  </w:style>
  <w:style w:type="character" w:customStyle="1" w:styleId="Heading4Char">
    <w:name w:val="Heading 4 Char"/>
    <w:basedOn w:val="DefaultParagraphFont"/>
    <w:link w:val="Heading4"/>
    <w:uiPriority w:val="9"/>
    <w:semiHidden/>
    <w:rsid w:val="00DE1CA0"/>
    <w:rPr>
      <w:rFonts w:ascii="Times New Roman" w:eastAsia="Times New Roman" w:hAnsi="Times New Roman" w:cs="Times New Roman"/>
      <w:b/>
      <w:sz w:val="36"/>
      <w:szCs w:val="20"/>
      <w:lang w:eastAsia="ar-SA"/>
    </w:rPr>
  </w:style>
  <w:style w:type="character" w:customStyle="1" w:styleId="Heading5Char">
    <w:name w:val="Heading 5 Char"/>
    <w:basedOn w:val="DefaultParagraphFont"/>
    <w:link w:val="Heading5"/>
    <w:uiPriority w:val="9"/>
    <w:semiHidden/>
    <w:rsid w:val="00DE1CA0"/>
    <w:rPr>
      <w:rFonts w:ascii="Times New Roman" w:eastAsia="Times New Roman" w:hAnsi="Times New Roman" w:cs="Times New Roman"/>
      <w:b/>
      <w:sz w:val="16"/>
      <w:szCs w:val="20"/>
      <w:lang w:eastAsia="ar-SA"/>
    </w:rPr>
  </w:style>
  <w:style w:type="character" w:customStyle="1" w:styleId="Heading6Char">
    <w:name w:val="Heading 6 Char"/>
    <w:basedOn w:val="DefaultParagraphFont"/>
    <w:link w:val="Heading6"/>
    <w:uiPriority w:val="9"/>
    <w:semiHidden/>
    <w:rsid w:val="00DE1CA0"/>
    <w:rPr>
      <w:rFonts w:ascii="Times New Roman" w:eastAsia="Times New Roman" w:hAnsi="Times New Roman" w:cs="Times New Roman"/>
      <w:b/>
      <w:sz w:val="36"/>
      <w:szCs w:val="20"/>
      <w:lang w:eastAsia="ar-SA"/>
    </w:rPr>
  </w:style>
  <w:style w:type="character" w:customStyle="1" w:styleId="Heading7Char">
    <w:name w:val="Heading 7 Char"/>
    <w:basedOn w:val="DefaultParagraphFont"/>
    <w:link w:val="Heading7"/>
    <w:uiPriority w:val="9"/>
    <w:semiHidden/>
    <w:rsid w:val="00DE1CA0"/>
    <w:rPr>
      <w:rFonts w:ascii="Times New Roman" w:eastAsia="Times New Roman" w:hAnsi="Times New Roman" w:cs="Times New Roman"/>
      <w:b/>
      <w:sz w:val="32"/>
      <w:szCs w:val="20"/>
      <w:shd w:val="clear" w:color="auto" w:fill="CCCCCC"/>
      <w:lang w:eastAsia="ar-SA"/>
    </w:rPr>
  </w:style>
  <w:style w:type="character" w:customStyle="1" w:styleId="Heading8Char">
    <w:name w:val="Heading 8 Char"/>
    <w:basedOn w:val="DefaultParagraphFont"/>
    <w:link w:val="Heading8"/>
    <w:uiPriority w:val="9"/>
    <w:semiHidden/>
    <w:rsid w:val="00DE1CA0"/>
    <w:rPr>
      <w:rFonts w:ascii="Times New Roman" w:eastAsia="Times New Roman" w:hAnsi="Times New Roman" w:cs="Times New Roman"/>
      <w:b/>
      <w:sz w:val="28"/>
      <w:szCs w:val="20"/>
      <w:lang w:eastAsia="ar-SA"/>
    </w:rPr>
  </w:style>
  <w:style w:type="character" w:styleId="Emphasis">
    <w:name w:val="Emphasis"/>
    <w:basedOn w:val="DefaultParagraphFont"/>
    <w:uiPriority w:val="20"/>
    <w:qFormat/>
    <w:rsid w:val="00DE1CA0"/>
    <w:rPr>
      <w:i/>
      <w:iCs w:val="0"/>
    </w:rPr>
  </w:style>
  <w:style w:type="paragraph" w:styleId="BodyText">
    <w:name w:val="Body Text"/>
    <w:basedOn w:val="Normal"/>
    <w:link w:val="BodyTextChar"/>
    <w:uiPriority w:val="99"/>
    <w:semiHidden/>
    <w:unhideWhenUsed/>
    <w:rsid w:val="00DE1CA0"/>
    <w:pPr>
      <w:tabs>
        <w:tab w:val="left" w:pos="-90"/>
        <w:tab w:val="left" w:pos="2070"/>
        <w:tab w:val="left" w:pos="3870"/>
        <w:tab w:val="left" w:pos="5670"/>
        <w:tab w:val="left" w:pos="7830"/>
        <w:tab w:val="left" w:pos="8550"/>
        <w:tab w:val="left" w:pos="9270"/>
      </w:tabs>
    </w:pPr>
    <w:rPr>
      <w:sz w:val="28"/>
    </w:rPr>
  </w:style>
  <w:style w:type="character" w:customStyle="1" w:styleId="BodyTextChar">
    <w:name w:val="Body Text Char"/>
    <w:basedOn w:val="DefaultParagraphFont"/>
    <w:link w:val="BodyText"/>
    <w:uiPriority w:val="99"/>
    <w:semiHidden/>
    <w:rsid w:val="00DE1CA0"/>
    <w:rPr>
      <w:rFonts w:ascii="Times New Roman" w:eastAsia="Times New Roman" w:hAnsi="Times New Roman" w:cs="Times New Roman"/>
      <w:sz w:val="28"/>
      <w:szCs w:val="20"/>
      <w:lang w:eastAsia="ar-SA"/>
    </w:rPr>
  </w:style>
  <w:style w:type="paragraph" w:styleId="BodyText3">
    <w:name w:val="Body Text 3"/>
    <w:basedOn w:val="Normal"/>
    <w:link w:val="BodyText3Char"/>
    <w:uiPriority w:val="99"/>
    <w:semiHidden/>
    <w:unhideWhenUsed/>
    <w:rsid w:val="00DE1CA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pPr>
    <w:rPr>
      <w:i/>
      <w:sz w:val="24"/>
    </w:rPr>
  </w:style>
  <w:style w:type="character" w:customStyle="1" w:styleId="BodyText3Char">
    <w:name w:val="Body Text 3 Char"/>
    <w:basedOn w:val="DefaultParagraphFont"/>
    <w:link w:val="BodyText3"/>
    <w:uiPriority w:val="99"/>
    <w:semiHidden/>
    <w:rsid w:val="00DE1CA0"/>
    <w:rPr>
      <w:rFonts w:ascii="Times New Roman" w:eastAsia="Times New Roman" w:hAnsi="Times New Roman" w:cs="Times New Roman"/>
      <w:i/>
      <w:sz w:val="24"/>
      <w:szCs w:val="20"/>
      <w:lang w:eastAsia="ar-SA"/>
    </w:rPr>
  </w:style>
  <w:style w:type="character" w:styleId="Hyperlink">
    <w:name w:val="Hyperlink"/>
    <w:basedOn w:val="DefaultParagraphFont"/>
    <w:uiPriority w:val="99"/>
    <w:unhideWhenUsed/>
    <w:rsid w:val="00F63DBE"/>
    <w:rPr>
      <w:color w:val="0563C1" w:themeColor="hyperlink"/>
      <w:u w:val="single"/>
    </w:rPr>
  </w:style>
  <w:style w:type="character" w:customStyle="1" w:styleId="UnresolvedMention1">
    <w:name w:val="Unresolved Mention1"/>
    <w:basedOn w:val="DefaultParagraphFont"/>
    <w:uiPriority w:val="99"/>
    <w:semiHidden/>
    <w:unhideWhenUsed/>
    <w:rsid w:val="00F63D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451301">
      <w:bodyDiv w:val="1"/>
      <w:marLeft w:val="0"/>
      <w:marRight w:val="0"/>
      <w:marTop w:val="0"/>
      <w:marBottom w:val="0"/>
      <w:divBdr>
        <w:top w:val="none" w:sz="0" w:space="0" w:color="auto"/>
        <w:left w:val="none" w:sz="0" w:space="0" w:color="auto"/>
        <w:bottom w:val="none" w:sz="0" w:space="0" w:color="auto"/>
        <w:right w:val="none" w:sz="0" w:space="0" w:color="auto"/>
      </w:divBdr>
    </w:div>
    <w:div w:id="337318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safewater/lead" TargetMode="External"/><Relationship Id="rId3" Type="http://schemas.openxmlformats.org/officeDocument/2006/relationships/styles" Target="styles.xml"/><Relationship Id="rId7" Type="http://schemas.openxmlformats.org/officeDocument/2006/relationships/hyperlink" Target="http://www.dep.state.fl.us/swap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bowlinggreenfl.org/bulletin-board/"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4FA614-3411-4842-B536-B8FE9AB08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1833</Words>
  <Characters>10451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 Guffey</dc:creator>
  <cp:keywords/>
  <dc:description/>
  <cp:lastModifiedBy>carmen</cp:lastModifiedBy>
  <cp:revision>2</cp:revision>
  <dcterms:created xsi:type="dcterms:W3CDTF">2022-07-07T12:20:00Z</dcterms:created>
  <dcterms:modified xsi:type="dcterms:W3CDTF">2022-07-07T12:20:00Z</dcterms:modified>
</cp:coreProperties>
</file>