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541F0" w14:textId="45548A10" w:rsidR="00DE1CA0" w:rsidRDefault="00DE1CA0" w:rsidP="00DE1CA0">
      <w:pPr>
        <w:pStyle w:val="BodyText"/>
        <w:jc w:val="center"/>
        <w:rPr>
          <w:sz w:val="32"/>
          <w:szCs w:val="32"/>
        </w:rPr>
      </w:pPr>
      <w:r>
        <w:rPr>
          <w:sz w:val="32"/>
          <w:szCs w:val="32"/>
          <w:lang w:val="es"/>
        </w:rPr>
        <w:t>20</w:t>
      </w:r>
      <w:r w:rsidR="00211439">
        <w:rPr>
          <w:sz w:val="32"/>
          <w:szCs w:val="32"/>
          <w:lang w:val="es"/>
        </w:rPr>
        <w:t>2</w:t>
      </w:r>
      <w:r w:rsidR="00E43253">
        <w:rPr>
          <w:sz w:val="32"/>
          <w:szCs w:val="32"/>
          <w:lang w:val="es"/>
        </w:rPr>
        <w:t>1</w:t>
      </w:r>
      <w:r>
        <w:rPr>
          <w:sz w:val="32"/>
          <w:szCs w:val="32"/>
          <w:lang w:val="es"/>
        </w:rPr>
        <w:t xml:space="preserve"> </w:t>
      </w:r>
      <w:proofErr w:type="gramStart"/>
      <w:r>
        <w:rPr>
          <w:sz w:val="32"/>
          <w:szCs w:val="32"/>
          <w:lang w:val="es"/>
        </w:rPr>
        <w:t>Informe</w:t>
      </w:r>
      <w:proofErr w:type="gramEnd"/>
      <w:r>
        <w:rPr>
          <w:sz w:val="32"/>
          <w:szCs w:val="32"/>
          <w:lang w:val="es"/>
        </w:rPr>
        <w:t xml:space="preserve"> anual sobre la calidad del agua potable</w:t>
      </w:r>
    </w:p>
    <w:p w14:paraId="55FF6170" w14:textId="77777777" w:rsidR="00DE1CA0" w:rsidRDefault="00DE1CA0" w:rsidP="00DE1CA0">
      <w:pPr>
        <w:pStyle w:val="BodyText"/>
        <w:jc w:val="center"/>
        <w:rPr>
          <w:sz w:val="24"/>
          <w:szCs w:val="24"/>
        </w:rPr>
      </w:pPr>
      <w:r>
        <w:rPr>
          <w:sz w:val="24"/>
          <w:szCs w:val="24"/>
          <w:lang w:val="es"/>
        </w:rPr>
        <w:t>Bowling Green WTP</w:t>
      </w:r>
    </w:p>
    <w:p w14:paraId="4149E9F1" w14:textId="77777777" w:rsidR="00DE1CA0" w:rsidRPr="00616D13" w:rsidRDefault="00DE1CA0" w:rsidP="00DE1CA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pPr>
      <w:r w:rsidRPr="00616D13">
        <w:rPr>
          <w:lang w:val="es"/>
        </w:rPr>
        <w:t>Número de ID del sistema 6252022</w:t>
      </w:r>
    </w:p>
    <w:p w14:paraId="4BA09DBD" w14:textId="77777777" w:rsidR="00DE1CA0" w:rsidRDefault="00DE1CA0" w:rsidP="00DE1CA0">
      <w:pPr>
        <w:pStyle w:val="BodyText3"/>
        <w:keepLines/>
        <w:tabs>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i w:val="0"/>
          <w:sz w:val="20"/>
        </w:rPr>
      </w:pPr>
    </w:p>
    <w:p w14:paraId="6BD037AB" w14:textId="77777777" w:rsidR="00072BFE" w:rsidRDefault="00DE1CA0" w:rsidP="00DE1CA0">
      <w:pPr>
        <w:pStyle w:val="BodyText3"/>
        <w:keepLines/>
        <w:tabs>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i w:val="0"/>
          <w:sz w:val="20"/>
        </w:rPr>
      </w:pPr>
      <w:r>
        <w:rPr>
          <w:i w:val="0"/>
          <w:sz w:val="20"/>
          <w:lang w:val="es"/>
        </w:rPr>
        <w:t xml:space="preserve">Este informe se enviará por correo a los clientes solo si lo solicitan y también está disponible en City Hall 104 East Main Street, Bowling Green Florida 33834 </w:t>
      </w:r>
      <w:r>
        <w:rPr>
          <w:bCs/>
          <w:i w:val="0"/>
          <w:sz w:val="20"/>
          <w:lang w:val="es"/>
        </w:rPr>
        <w:t xml:space="preserve">a pedido. Este informe también se puede ver en el enlace URL ubicado en su factura de agua o en la siguiente dirección </w:t>
      </w:r>
      <w:hyperlink r:id="rId6" w:history="1">
        <w:r w:rsidR="00072BFE" w:rsidRPr="009D1999">
          <w:rPr>
            <w:rStyle w:val="Hyperlink"/>
            <w:bCs/>
            <w:i w:val="0"/>
            <w:sz w:val="20"/>
            <w:lang w:val="es"/>
          </w:rPr>
          <w:t>http://bowlinggreenfl.org/bulletin-board/</w:t>
        </w:r>
      </w:hyperlink>
      <w:r w:rsidR="00072BFE">
        <w:rPr>
          <w:bCs/>
          <w:i w:val="0"/>
          <w:sz w:val="20"/>
          <w:lang w:val="es"/>
        </w:rPr>
        <w:t>.</w:t>
      </w:r>
    </w:p>
    <w:p w14:paraId="2DF49D6C" w14:textId="77777777" w:rsidR="00DE1CA0" w:rsidRDefault="00DE1CA0" w:rsidP="00DE1CA0">
      <w:pPr>
        <w:jc w:val="both"/>
      </w:pPr>
    </w:p>
    <w:p w14:paraId="1C480D48" w14:textId="77777777" w:rsidR="00DE1CA0" w:rsidRDefault="00211439" w:rsidP="00DE1CA0">
      <w:pPr>
        <w:jc w:val="both"/>
      </w:pPr>
      <w:r>
        <w:rPr>
          <w:lang w:val="es"/>
        </w:rPr>
        <w:t>Estamos muy contentos de proporcionarle el Informe Anual de Calidad del Agua Potable de este año.  Queremos mantenerlo informado sobre el excelente agua y los servicios que le hemos brindado durante el año pasado.  Nuestro objetivo es y siempre ha sido, proporcionarle un suministro seguro y confiable de agua potable. Nuestra fuente de agua tiene tres pozos de 12 "que extraen agua del acuífero de Florida. En octubre de 2020 , la ciudad puso en servicio su nuevo sistema de filtración Nano con el objetivo</w:t>
      </w:r>
      <w:r w:rsidR="00B02F62">
        <w:rPr>
          <w:lang w:val="es"/>
        </w:rPr>
        <w:t>de eliminar la reducción de sulfato y sólidos disueltos totales. Antes de la entrega, el agua se frota con bandejas en cascada para mejorar el sabor y el olor y se desinfecta con cloro.</w:t>
      </w:r>
    </w:p>
    <w:p w14:paraId="13323CDB" w14:textId="77777777" w:rsidR="00DE1CA0" w:rsidRDefault="00DE1CA0" w:rsidP="00DE1CA0">
      <w:pPr>
        <w:jc w:val="both"/>
        <w:rPr>
          <w:szCs w:val="19"/>
        </w:rPr>
      </w:pPr>
    </w:p>
    <w:p w14:paraId="09554BCB" w14:textId="37145B5E" w:rsidR="00DE1CA0" w:rsidRDefault="00906BAB" w:rsidP="00DE1CA0">
      <w:pPr>
        <w:jc w:val="both"/>
      </w:pPr>
      <w:r>
        <w:rPr>
          <w:lang w:val="es"/>
        </w:rPr>
        <w:t>En 202</w:t>
      </w:r>
      <w:r w:rsidR="00FB7E24">
        <w:rPr>
          <w:lang w:val="es"/>
        </w:rPr>
        <w:t>1 el Departamento de Protección Ambiental realizó una Evaluación de Fuentes de Agua en nuestro sistema. Una búsqueda en las fuentes de datos indicó que solo hay una fuente potencial de contaminación cerca de nuestros pozos y que tenía una baja susceptibilidad. Los resultados de la evaluación están disponibles en el sitio web del Programa de Evaluación y Protección del Agua de la Fuente del FDEP en</w:t>
      </w:r>
      <w:hyperlink r:id="rId7" w:history="1">
        <w:r w:rsidR="00F63DBE" w:rsidRPr="009D1999">
          <w:rPr>
            <w:rStyle w:val="Hyperlink"/>
            <w:lang w:val="es"/>
          </w:rPr>
          <w:t xml:space="preserve"> www.dep.state.fl.us/swapp</w:t>
        </w:r>
      </w:hyperlink>
      <w:r w:rsidR="00F63DBE">
        <w:rPr>
          <w:lang w:val="es"/>
        </w:rPr>
        <w:t>.</w:t>
      </w:r>
    </w:p>
    <w:p w14:paraId="221ADD99" w14:textId="77777777" w:rsidR="00DE1CA0" w:rsidRDefault="00DE1CA0" w:rsidP="00DE1CA0">
      <w:pPr>
        <w:jc w:val="both"/>
        <w:rPr>
          <w:i/>
        </w:rPr>
      </w:pPr>
    </w:p>
    <w:p w14:paraId="7BB3EA94" w14:textId="77777777" w:rsidR="00DE1CA0" w:rsidRDefault="00DE1CA0" w:rsidP="00DE1CA0">
      <w:pPr>
        <w:jc w:val="both"/>
      </w:pPr>
      <w:r>
        <w:rPr>
          <w:lang w:val="es"/>
        </w:rPr>
        <w:t>Si tiene alguna pregunta sobre este informe o sobre su servicio de agua, comuníquese con</w:t>
      </w:r>
      <w:r>
        <w:rPr>
          <w:b/>
          <w:lang w:val="es"/>
        </w:rPr>
        <w:t xml:space="preserve"> el Ayuntamiento al 863-375-2255. </w:t>
      </w:r>
      <w:r>
        <w:rPr>
          <w:lang w:val="es"/>
        </w:rPr>
        <w:t xml:space="preserve"> Alentamos a nuestros valiosos clientes a estar informados sobre su servicio de agua. Si desea obtener más información, asista a cualquiera de nuestras reuniones regulares del Concejo Municipal. Las reuniones se llevan a cabo en el Ayuntamiento de Bowling Green el segundo martes del mes a las 6:30 p.m. Una copia del informe de agua de CCR está disponible a pedido en el Ayuntamiento de Bowling Green.  Cualquier cliente puede obtener información adicional de la EPA en su línea directa de agua potable segura (800-426-4791).</w:t>
      </w:r>
    </w:p>
    <w:p w14:paraId="403B3237" w14:textId="77777777" w:rsidR="00DE1CA0" w:rsidRDefault="00DE1CA0" w:rsidP="00DE1CA0">
      <w:pPr>
        <w:jc w:val="both"/>
        <w:rPr>
          <w:b/>
        </w:rPr>
      </w:pPr>
    </w:p>
    <w:p w14:paraId="3A024AF6" w14:textId="1EF296D8" w:rsidR="00DE1CA0" w:rsidRDefault="00DE1CA0" w:rsidP="00DE1CA0">
      <w:pPr>
        <w:jc w:val="both"/>
      </w:pPr>
      <w:r>
        <w:rPr>
          <w:b/>
          <w:lang w:val="es"/>
        </w:rPr>
        <w:t xml:space="preserve">Bowling Green WTP </w:t>
      </w:r>
      <w:r w:rsidR="00B02F62">
        <w:rPr>
          <w:lang w:val="es"/>
        </w:rPr>
        <w:t>monitorea rutinariamente los contaminantes en su agua potable de acuerdo con las leyes, reglas y regulaciones federales y estatales.  Salvo que se indique lo contrario, este informe se basa en los resultados de nuestro seguimiento para el período del 1 de enero al 31 de diciembre de 202</w:t>
      </w:r>
      <w:r w:rsidR="000A5E3F">
        <w:rPr>
          <w:lang w:val="es"/>
        </w:rPr>
        <w:t>1</w:t>
      </w:r>
      <w:r w:rsidR="00994003">
        <w:rPr>
          <w:lang w:val="es"/>
        </w:rPr>
        <w:t>. Los datos obtenidos antes del 1,20 de enero</w:t>
      </w:r>
      <w:r w:rsidR="00B02F62">
        <w:rPr>
          <w:lang w:val="es"/>
        </w:rPr>
        <w:t>2</w:t>
      </w:r>
      <w:r w:rsidR="000A5E3F">
        <w:rPr>
          <w:lang w:val="es"/>
        </w:rPr>
        <w:t xml:space="preserve">1 y presentados en este informe son de las pruebas más recientes realizadas de acuerdo con las leyes, normas y reglamentos. </w:t>
      </w:r>
    </w:p>
    <w:p w14:paraId="05029730" w14:textId="77777777" w:rsidR="00DE1CA0" w:rsidRDefault="00DE1CA0" w:rsidP="00DE1CA0">
      <w:pPr>
        <w:jc w:val="both"/>
      </w:pPr>
    </w:p>
    <w:p w14:paraId="4F6EBB6B" w14:textId="77777777" w:rsidR="00DE1CA0" w:rsidRDefault="00DE1CA0" w:rsidP="00DE1CA0">
      <w:pPr>
        <w:jc w:val="both"/>
      </w:pPr>
      <w:r>
        <w:rPr>
          <w:lang w:val="es"/>
        </w:rPr>
        <w:t xml:space="preserve">En la siguiente tabla, puede encontrar términos y abreviaturas desconocidos. </w:t>
      </w:r>
    </w:p>
    <w:p w14:paraId="6618CD70" w14:textId="77777777" w:rsidR="00DE1CA0" w:rsidRDefault="00DE1CA0" w:rsidP="00DE1CA0">
      <w:pPr>
        <w:jc w:val="both"/>
      </w:pPr>
      <w:r>
        <w:rPr>
          <w:lang w:val="es"/>
        </w:rPr>
        <w:t>Para ayudarte a comprender mejor estos términos, hemos proporcionado las siguientes definiciones:</w:t>
      </w:r>
    </w:p>
    <w:p w14:paraId="608E2C29" w14:textId="77777777" w:rsidR="00DE1CA0" w:rsidRDefault="00DE1CA0" w:rsidP="00DE1CA0">
      <w:pPr>
        <w:jc w:val="both"/>
        <w:rPr>
          <w:sz w:val="10"/>
        </w:rPr>
      </w:pPr>
    </w:p>
    <w:p w14:paraId="4940FF01" w14:textId="77777777" w:rsidR="00DE1CA0" w:rsidRDefault="00DE1CA0" w:rsidP="00DE1CA0">
      <w:pPr>
        <w:jc w:val="both"/>
        <w:rPr>
          <w:sz w:val="18"/>
          <w:szCs w:val="18"/>
        </w:rPr>
      </w:pPr>
      <w:r>
        <w:rPr>
          <w:b/>
          <w:bCs/>
          <w:sz w:val="18"/>
          <w:szCs w:val="18"/>
          <w:lang w:val="es"/>
        </w:rPr>
        <w:t>Nivel Máximo de Contaminante o MCL:</w:t>
      </w:r>
      <w:r>
        <w:rPr>
          <w:sz w:val="18"/>
          <w:szCs w:val="18"/>
          <w:lang w:val="es"/>
        </w:rPr>
        <w:t xml:space="preserve"> El nivel más alto de un contaminante que se permite en el agua potable.  Los MCL se establecen lo más cerca posible de los MCLG utilizando la mejor tecnología de tratamiento disponible.</w:t>
      </w:r>
    </w:p>
    <w:p w14:paraId="5D83A898" w14:textId="77777777" w:rsidR="00DE1CA0" w:rsidRDefault="00DE1CA0" w:rsidP="00DE1CA0">
      <w:pPr>
        <w:jc w:val="both"/>
        <w:rPr>
          <w:sz w:val="18"/>
          <w:szCs w:val="18"/>
        </w:rPr>
      </w:pPr>
    </w:p>
    <w:p w14:paraId="1EE7CA41" w14:textId="77777777" w:rsidR="00DE1CA0" w:rsidRDefault="00DE1CA0" w:rsidP="00DE1CA0">
      <w:pPr>
        <w:jc w:val="both"/>
        <w:rPr>
          <w:sz w:val="18"/>
          <w:szCs w:val="18"/>
        </w:rPr>
      </w:pPr>
      <w:r>
        <w:rPr>
          <w:b/>
          <w:bCs/>
          <w:sz w:val="18"/>
          <w:szCs w:val="18"/>
          <w:lang w:val="es"/>
        </w:rPr>
        <w:t>Objetivo de Nivel Máximo de Contaminantes o MCLG:</w:t>
      </w:r>
      <w:r>
        <w:rPr>
          <w:sz w:val="18"/>
          <w:szCs w:val="18"/>
          <w:lang w:val="es"/>
        </w:rPr>
        <w:t xml:space="preserve"> El nivel de un contaminante en el agua potable, por debajo del cual no hay riesgo conocido o esperado para la salud.  Los MCLG permiten un margen de seguridad.</w:t>
      </w:r>
    </w:p>
    <w:p w14:paraId="3D46DCD5" w14:textId="77777777" w:rsidR="00DE1CA0" w:rsidRDefault="00DE1CA0" w:rsidP="00DE1CA0">
      <w:pPr>
        <w:jc w:val="both"/>
        <w:rPr>
          <w:sz w:val="18"/>
          <w:szCs w:val="18"/>
        </w:rPr>
      </w:pPr>
    </w:p>
    <w:p w14:paraId="62929A37" w14:textId="77777777" w:rsidR="00DE1CA0" w:rsidRDefault="00DE1CA0" w:rsidP="00DE1CA0">
      <w:pPr>
        <w:jc w:val="both"/>
        <w:rPr>
          <w:sz w:val="18"/>
          <w:szCs w:val="18"/>
        </w:rPr>
      </w:pPr>
      <w:r>
        <w:rPr>
          <w:b/>
          <w:bCs/>
          <w:sz w:val="18"/>
          <w:szCs w:val="18"/>
          <w:lang w:val="es"/>
        </w:rPr>
        <w:t>Nivel de acción (AL):</w:t>
      </w:r>
      <w:r>
        <w:rPr>
          <w:sz w:val="18"/>
          <w:szCs w:val="18"/>
          <w:lang w:val="es"/>
        </w:rPr>
        <w:t xml:space="preserve">  La concentración de un contaminante que, si se excede, desencadena el tratamiento u otros requisitos que debe seguir un sistema de agua.</w:t>
      </w:r>
    </w:p>
    <w:p w14:paraId="2D330AB8" w14:textId="77777777" w:rsidR="00DE1CA0" w:rsidRDefault="00DE1CA0" w:rsidP="00DE1CA0">
      <w:pPr>
        <w:jc w:val="both"/>
        <w:rPr>
          <w:sz w:val="18"/>
          <w:szCs w:val="18"/>
        </w:rPr>
      </w:pPr>
    </w:p>
    <w:p w14:paraId="1A2F0D69" w14:textId="77777777" w:rsidR="00DE1CA0" w:rsidRDefault="00DE1CA0" w:rsidP="00DE1CA0">
      <w:pPr>
        <w:jc w:val="both"/>
        <w:rPr>
          <w:sz w:val="18"/>
          <w:szCs w:val="18"/>
        </w:rPr>
      </w:pPr>
      <w:r>
        <w:rPr>
          <w:b/>
          <w:bCs/>
          <w:sz w:val="18"/>
          <w:szCs w:val="18"/>
          <w:lang w:val="es"/>
        </w:rPr>
        <w:t>Evaluación inicial del sistema de distribución (IDSE):</w:t>
      </w:r>
      <w:r>
        <w:rPr>
          <w:sz w:val="18"/>
          <w:szCs w:val="18"/>
          <w:lang w:val="es"/>
        </w:rPr>
        <w:t xml:space="preserve"> una parte importante de la Regla de donaciones By-P de desinfección de etapa 2</w:t>
      </w:r>
      <w:r>
        <w:rPr>
          <w:lang w:val="es"/>
        </w:rPr>
        <w:t xml:space="preserve"> </w:t>
      </w:r>
      <w:r>
        <w:rPr>
          <w:sz w:val="18"/>
          <w:szCs w:val="18"/>
          <w:lang w:val="es"/>
        </w:rPr>
        <w:t xml:space="preserve">(DBPR).  El IDSE es un estudio único realizado por sistemas de agua para identificar ubicaciones de sistemas de distribución con altas concentraciones de trihalometano (THM) y ácidos </w:t>
      </w:r>
      <w:proofErr w:type="spellStart"/>
      <w:r>
        <w:rPr>
          <w:sz w:val="18"/>
          <w:szCs w:val="18"/>
          <w:lang w:val="es"/>
        </w:rPr>
        <w:t>haloacéticos</w:t>
      </w:r>
      <w:proofErr w:type="spellEnd"/>
      <w:r>
        <w:rPr>
          <w:sz w:val="18"/>
          <w:szCs w:val="18"/>
          <w:lang w:val="es"/>
        </w:rPr>
        <w:t xml:space="preserve"> (HAA). Los sistemas de agua utilizarán los resultados del IDSE, junto con sus datos de monitoreo de cumplimiento de DBPR de Etapa 1, para seleccionar ubicaciones de monitoreo de cumplimiento para el DBPR de Etapa 2.</w:t>
      </w:r>
    </w:p>
    <w:p w14:paraId="1A224372" w14:textId="77777777" w:rsidR="00DE1CA0" w:rsidRDefault="00DE1CA0" w:rsidP="00DE1CA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val="0"/>
        <w:rPr>
          <w:b/>
          <w:sz w:val="18"/>
          <w:szCs w:val="18"/>
          <w:lang w:eastAsia="en-US"/>
        </w:rPr>
      </w:pPr>
    </w:p>
    <w:p w14:paraId="2F823F23" w14:textId="77777777" w:rsidR="00DE1CA0" w:rsidRDefault="00DE1CA0" w:rsidP="00DE1CA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val="0"/>
        <w:rPr>
          <w:sz w:val="18"/>
          <w:szCs w:val="18"/>
          <w:lang w:eastAsia="en-US"/>
        </w:rPr>
      </w:pPr>
      <w:r>
        <w:rPr>
          <w:b/>
          <w:sz w:val="18"/>
          <w:szCs w:val="18"/>
          <w:lang w:val="es"/>
        </w:rPr>
        <w:t>Promedio Anual de Ejecución De Ubicación (LRAA):</w:t>
      </w:r>
      <w:r>
        <w:rPr>
          <w:sz w:val="18"/>
          <w:szCs w:val="18"/>
          <w:lang w:val="es"/>
        </w:rPr>
        <w:t xml:space="preserve">  el promedio de los resultados analíticos de la muestra para las muestras tomadas en un lugar de monitoreo particular durante los cuatro trimestres calendario anteriores.</w:t>
      </w:r>
    </w:p>
    <w:p w14:paraId="32BCE992" w14:textId="77777777" w:rsidR="00DE1CA0" w:rsidRDefault="00DE1CA0" w:rsidP="00DE1CA0">
      <w:pPr>
        <w:jc w:val="both"/>
        <w:rPr>
          <w:i/>
          <w:sz w:val="18"/>
          <w:szCs w:val="18"/>
        </w:rPr>
      </w:pPr>
    </w:p>
    <w:p w14:paraId="1459674D" w14:textId="77777777" w:rsidR="00DE1CA0" w:rsidRDefault="00DE1CA0" w:rsidP="00DE1CA0">
      <w:pPr>
        <w:jc w:val="both"/>
        <w:rPr>
          <w:sz w:val="18"/>
          <w:szCs w:val="18"/>
        </w:rPr>
      </w:pPr>
      <w:r>
        <w:rPr>
          <w:b/>
          <w:bCs/>
          <w:sz w:val="18"/>
          <w:szCs w:val="18"/>
          <w:lang w:val="es"/>
        </w:rPr>
        <w:t>Nivel máximo de desinfectante residual o MRDL:</w:t>
      </w:r>
      <w:r>
        <w:rPr>
          <w:sz w:val="18"/>
          <w:szCs w:val="18"/>
          <w:lang w:val="es"/>
        </w:rPr>
        <w:t xml:space="preserve">  El nivel más alto de un desinfectante permitido en el agua potable.  Existe evidencia convincente de que la adición de un desinfectante es necesaria para el control de los contaminantes microbianos.</w:t>
      </w:r>
    </w:p>
    <w:p w14:paraId="44DC9F9B" w14:textId="77777777" w:rsidR="00DE1CA0" w:rsidRDefault="00DE1CA0" w:rsidP="00DE1CA0">
      <w:pPr>
        <w:jc w:val="both"/>
        <w:rPr>
          <w:b/>
          <w:bCs/>
          <w:sz w:val="18"/>
          <w:szCs w:val="18"/>
        </w:rPr>
      </w:pPr>
    </w:p>
    <w:p w14:paraId="5EE3E4B5" w14:textId="77777777" w:rsidR="00DE1CA0" w:rsidRDefault="00DE1CA0" w:rsidP="00DE1CA0">
      <w:pPr>
        <w:jc w:val="both"/>
        <w:rPr>
          <w:sz w:val="18"/>
          <w:szCs w:val="18"/>
        </w:rPr>
      </w:pPr>
      <w:r>
        <w:rPr>
          <w:b/>
          <w:bCs/>
          <w:sz w:val="18"/>
          <w:szCs w:val="18"/>
          <w:lang w:val="es"/>
        </w:rPr>
        <w:t>Objetivo de nivel máximo de desinfectante residual o MRDLG:</w:t>
      </w:r>
      <w:r>
        <w:rPr>
          <w:sz w:val="18"/>
          <w:szCs w:val="18"/>
          <w:lang w:val="es"/>
        </w:rPr>
        <w:t xml:space="preserve">  El nivel de un desinfectante de agua potable, por debajo del cual no hay riesgo conocido o esperado para la salud.  Los MRDLG no reflejan los beneficios del uso de desinfectantes para controlar los contaminantes microbianos.</w:t>
      </w:r>
    </w:p>
    <w:p w14:paraId="67C9E711" w14:textId="77777777" w:rsidR="00DE1CA0" w:rsidRDefault="00DE1CA0" w:rsidP="00DE1CA0">
      <w:pPr>
        <w:jc w:val="both"/>
        <w:rPr>
          <w:b/>
          <w:bCs/>
          <w:sz w:val="18"/>
          <w:szCs w:val="18"/>
        </w:rPr>
      </w:pPr>
    </w:p>
    <w:p w14:paraId="47B265EB" w14:textId="77777777" w:rsidR="00DE1CA0" w:rsidRDefault="00DE1CA0" w:rsidP="00DE1CA0">
      <w:pPr>
        <w:jc w:val="both"/>
        <w:rPr>
          <w:sz w:val="18"/>
          <w:szCs w:val="18"/>
        </w:rPr>
      </w:pPr>
      <w:r>
        <w:rPr>
          <w:b/>
          <w:bCs/>
          <w:sz w:val="18"/>
          <w:szCs w:val="18"/>
          <w:lang w:val="es"/>
        </w:rPr>
        <w:t>Partes por billón (ppb) o microgramos por litro (μg/l):</w:t>
      </w:r>
      <w:r>
        <w:rPr>
          <w:sz w:val="18"/>
          <w:szCs w:val="18"/>
          <w:lang w:val="es"/>
        </w:rPr>
        <w:t xml:space="preserve"> una parte en peso de analito a 1 billón de partes por peso de la muestra de agua.</w:t>
      </w:r>
    </w:p>
    <w:p w14:paraId="21FCD40C" w14:textId="77777777" w:rsidR="00DE1CA0" w:rsidRDefault="00DE1CA0" w:rsidP="00DE1CA0">
      <w:pPr>
        <w:jc w:val="both"/>
        <w:rPr>
          <w:b/>
          <w:bCs/>
          <w:sz w:val="18"/>
          <w:szCs w:val="18"/>
        </w:rPr>
      </w:pPr>
    </w:p>
    <w:p w14:paraId="7B5F8482" w14:textId="77777777" w:rsidR="00DE1CA0" w:rsidRDefault="00DE1CA0" w:rsidP="00DE1CA0">
      <w:pPr>
        <w:jc w:val="both"/>
        <w:rPr>
          <w:sz w:val="18"/>
          <w:szCs w:val="18"/>
        </w:rPr>
      </w:pPr>
      <w:r>
        <w:rPr>
          <w:b/>
          <w:bCs/>
          <w:sz w:val="18"/>
          <w:szCs w:val="18"/>
          <w:lang w:val="es"/>
        </w:rPr>
        <w:t>Partes por millón (ppm) o miligramos por litro (mg/l):</w:t>
      </w:r>
      <w:r>
        <w:rPr>
          <w:sz w:val="18"/>
          <w:szCs w:val="18"/>
          <w:lang w:val="es"/>
        </w:rPr>
        <w:t xml:space="preserve">  una parte en peso de analito a 1 millón de partes por peso de la muestra de agua.</w:t>
      </w:r>
    </w:p>
    <w:p w14:paraId="234BC6FE" w14:textId="77777777" w:rsidR="00DE1CA0" w:rsidRDefault="00DE1CA0" w:rsidP="00DE1CA0">
      <w:pPr>
        <w:jc w:val="both"/>
        <w:rPr>
          <w:sz w:val="18"/>
          <w:szCs w:val="18"/>
        </w:rPr>
      </w:pPr>
      <w:r>
        <w:rPr>
          <w:b/>
          <w:bCs/>
          <w:sz w:val="18"/>
          <w:szCs w:val="18"/>
          <w:lang w:val="es"/>
        </w:rPr>
        <w:t>Picocurie por litro (</w:t>
      </w:r>
      <w:proofErr w:type="spellStart"/>
      <w:r>
        <w:rPr>
          <w:b/>
          <w:bCs/>
          <w:sz w:val="18"/>
          <w:szCs w:val="18"/>
          <w:lang w:val="es"/>
        </w:rPr>
        <w:t>pCi</w:t>
      </w:r>
      <w:proofErr w:type="spellEnd"/>
      <w:r>
        <w:rPr>
          <w:b/>
          <w:bCs/>
          <w:sz w:val="18"/>
          <w:szCs w:val="18"/>
          <w:lang w:val="es"/>
        </w:rPr>
        <w:t>/L):</w:t>
      </w:r>
      <w:r>
        <w:rPr>
          <w:sz w:val="18"/>
          <w:szCs w:val="18"/>
          <w:lang w:val="es"/>
        </w:rPr>
        <w:t xml:space="preserve">  medida de la radiactividad en el agua.</w:t>
      </w:r>
    </w:p>
    <w:tbl>
      <w:tblPr>
        <w:tblpPr w:leftFromText="180" w:rightFromText="180" w:vertAnchor="text" w:horzAnchor="margin" w:tblpY="410"/>
        <w:tblW w:w="10705" w:type="dxa"/>
        <w:tblLayout w:type="fixed"/>
        <w:tblCellMar>
          <w:left w:w="0" w:type="dxa"/>
          <w:right w:w="0" w:type="dxa"/>
        </w:tblCellMar>
        <w:tblLook w:val="0600" w:firstRow="0" w:lastRow="0" w:firstColumn="0" w:lastColumn="0" w:noHBand="1" w:noVBand="1"/>
      </w:tblPr>
      <w:tblGrid>
        <w:gridCol w:w="1452"/>
        <w:gridCol w:w="949"/>
        <w:gridCol w:w="847"/>
        <w:gridCol w:w="1127"/>
        <w:gridCol w:w="684"/>
        <w:gridCol w:w="2874"/>
        <w:gridCol w:w="523"/>
        <w:gridCol w:w="1989"/>
        <w:gridCol w:w="260"/>
      </w:tblGrid>
      <w:tr w:rsidR="00616D13" w14:paraId="26474A24" w14:textId="77777777" w:rsidTr="00616D13">
        <w:trPr>
          <w:cantSplit/>
          <w:trHeight w:val="332"/>
          <w:tblHeader/>
        </w:trPr>
        <w:tc>
          <w:tcPr>
            <w:tcW w:w="10705" w:type="dxa"/>
            <w:gridSpan w:val="9"/>
            <w:tcBorders>
              <w:right w:val="nil"/>
            </w:tcBorders>
            <w:tcMar>
              <w:top w:w="0" w:type="dxa"/>
              <w:left w:w="100" w:type="dxa"/>
              <w:bottom w:w="0" w:type="dxa"/>
              <w:right w:w="100" w:type="dxa"/>
            </w:tcMar>
            <w:vAlign w:val="center"/>
            <w:hideMark/>
          </w:tcPr>
          <w:p w14:paraId="1DBAE747" w14:textId="77777777" w:rsidR="00616D13" w:rsidRDefault="00616D13" w:rsidP="00616D13">
            <w:pPr>
              <w:pStyle w:val="Heading1"/>
              <w:tabs>
                <w:tab w:val="clear" w:pos="432"/>
              </w:tabs>
              <w:snapToGrid w:val="0"/>
              <w:spacing w:before="0" w:after="0"/>
              <w:rPr>
                <w:rFonts w:ascii="Times New Roman" w:hAnsi="Times New Roman"/>
              </w:rPr>
            </w:pPr>
            <w:r>
              <w:rPr>
                <w:lang w:val="es"/>
              </w:rPr>
              <w:lastRenderedPageBreak/>
              <w:t>Contaminantes radiactivos</w:t>
            </w:r>
          </w:p>
        </w:tc>
      </w:tr>
      <w:tr w:rsidR="00616D13" w14:paraId="04881A39" w14:textId="77777777" w:rsidTr="00616D13">
        <w:trPr>
          <w:gridAfter w:val="1"/>
          <w:wAfter w:w="260" w:type="dxa"/>
          <w:cantSplit/>
          <w:trHeight w:val="458"/>
        </w:trPr>
        <w:tc>
          <w:tcPr>
            <w:tcW w:w="1452" w:type="dxa"/>
            <w:tcBorders>
              <w:top w:val="single" w:sz="4" w:space="0" w:color="000000"/>
              <w:left w:val="single" w:sz="4" w:space="0" w:color="000000"/>
              <w:bottom w:val="single" w:sz="4" w:space="0" w:color="000000"/>
              <w:right w:val="nil"/>
            </w:tcBorders>
            <w:vAlign w:val="center"/>
          </w:tcPr>
          <w:p w14:paraId="17F40C2A" w14:textId="77777777" w:rsidR="00616D13" w:rsidRDefault="00616D13" w:rsidP="00616D13">
            <w:pPr>
              <w:snapToGrid w:val="0"/>
              <w:rPr>
                <w:b/>
                <w:sz w:val="18"/>
              </w:rPr>
            </w:pPr>
            <w:r>
              <w:rPr>
                <w:b/>
                <w:sz w:val="18"/>
                <w:lang w:val="es"/>
              </w:rPr>
              <w:t>Contaminante y unidad de medida</w:t>
            </w:r>
          </w:p>
        </w:tc>
        <w:tc>
          <w:tcPr>
            <w:tcW w:w="949" w:type="dxa"/>
            <w:tcBorders>
              <w:top w:val="single" w:sz="4" w:space="0" w:color="000000"/>
              <w:left w:val="single" w:sz="4" w:space="0" w:color="000000"/>
              <w:bottom w:val="single" w:sz="4" w:space="0" w:color="000000"/>
              <w:right w:val="nil"/>
            </w:tcBorders>
            <w:vAlign w:val="center"/>
          </w:tcPr>
          <w:p w14:paraId="08836CDF" w14:textId="77777777" w:rsidR="00616D13" w:rsidRDefault="00616D13" w:rsidP="00616D13">
            <w:pPr>
              <w:snapToGrid w:val="0"/>
              <w:jc w:val="center"/>
              <w:rPr>
                <w:b/>
                <w:sz w:val="18"/>
              </w:rPr>
            </w:pPr>
            <w:r>
              <w:rPr>
                <w:b/>
                <w:sz w:val="18"/>
                <w:lang w:val="es"/>
              </w:rPr>
              <w:t>Fechas de muestreo (mo./año)</w:t>
            </w:r>
          </w:p>
        </w:tc>
        <w:tc>
          <w:tcPr>
            <w:tcW w:w="847" w:type="dxa"/>
            <w:tcBorders>
              <w:top w:val="single" w:sz="4" w:space="0" w:color="000000"/>
              <w:left w:val="single" w:sz="4" w:space="0" w:color="000000"/>
              <w:bottom w:val="single" w:sz="4" w:space="0" w:color="000000"/>
              <w:right w:val="nil"/>
            </w:tcBorders>
            <w:vAlign w:val="center"/>
          </w:tcPr>
          <w:p w14:paraId="34F450AC" w14:textId="77777777" w:rsidR="00616D13" w:rsidRDefault="00616D13" w:rsidP="00616D13">
            <w:pPr>
              <w:snapToGrid w:val="0"/>
              <w:jc w:val="center"/>
              <w:rPr>
                <w:b/>
                <w:sz w:val="18"/>
              </w:rPr>
            </w:pPr>
            <w:r>
              <w:rPr>
                <w:b/>
                <w:sz w:val="18"/>
                <w:lang w:val="es"/>
              </w:rPr>
              <w:t>Violación de MCL Y/N</w:t>
            </w:r>
          </w:p>
        </w:tc>
        <w:tc>
          <w:tcPr>
            <w:tcW w:w="1127" w:type="dxa"/>
            <w:tcBorders>
              <w:top w:val="single" w:sz="4" w:space="0" w:color="000000"/>
              <w:left w:val="single" w:sz="4" w:space="0" w:color="000000"/>
              <w:bottom w:val="single" w:sz="4" w:space="0" w:color="000000"/>
              <w:right w:val="nil"/>
            </w:tcBorders>
            <w:vAlign w:val="center"/>
          </w:tcPr>
          <w:p w14:paraId="1BC7B007" w14:textId="77777777" w:rsidR="00616D13" w:rsidRDefault="00616D13" w:rsidP="00616D13">
            <w:pPr>
              <w:snapToGrid w:val="0"/>
              <w:jc w:val="center"/>
              <w:rPr>
                <w:b/>
                <w:sz w:val="18"/>
              </w:rPr>
            </w:pPr>
            <w:r>
              <w:rPr>
                <w:b/>
                <w:sz w:val="18"/>
                <w:lang w:val="es"/>
              </w:rPr>
              <w:t>Nivel detectado</w:t>
            </w:r>
          </w:p>
        </w:tc>
        <w:tc>
          <w:tcPr>
            <w:tcW w:w="684" w:type="dxa"/>
            <w:tcBorders>
              <w:top w:val="single" w:sz="4" w:space="0" w:color="000000"/>
              <w:left w:val="single" w:sz="4" w:space="0" w:color="000000"/>
              <w:bottom w:val="single" w:sz="4" w:space="0" w:color="000000"/>
              <w:right w:val="nil"/>
            </w:tcBorders>
            <w:vAlign w:val="center"/>
          </w:tcPr>
          <w:p w14:paraId="56B8B257" w14:textId="77777777" w:rsidR="00616D13" w:rsidRDefault="00616D13" w:rsidP="00616D13">
            <w:pPr>
              <w:snapToGrid w:val="0"/>
              <w:jc w:val="center"/>
              <w:rPr>
                <w:b/>
                <w:sz w:val="18"/>
              </w:rPr>
            </w:pPr>
            <w:r>
              <w:rPr>
                <w:b/>
                <w:sz w:val="18"/>
                <w:lang w:val="es"/>
              </w:rPr>
              <w:t>Rango de resultados</w:t>
            </w:r>
          </w:p>
        </w:tc>
        <w:tc>
          <w:tcPr>
            <w:tcW w:w="2874" w:type="dxa"/>
            <w:tcBorders>
              <w:top w:val="single" w:sz="4" w:space="0" w:color="000000"/>
              <w:left w:val="single" w:sz="4" w:space="0" w:color="000000"/>
              <w:bottom w:val="single" w:sz="4" w:space="0" w:color="000000"/>
              <w:right w:val="nil"/>
            </w:tcBorders>
            <w:vAlign w:val="center"/>
          </w:tcPr>
          <w:p w14:paraId="069E9D7C" w14:textId="77777777" w:rsidR="00616D13" w:rsidRDefault="00616D13" w:rsidP="00616D13">
            <w:pPr>
              <w:snapToGrid w:val="0"/>
              <w:jc w:val="center"/>
              <w:rPr>
                <w:b/>
                <w:sz w:val="16"/>
              </w:rPr>
            </w:pPr>
            <w:r>
              <w:rPr>
                <w:b/>
                <w:sz w:val="16"/>
                <w:lang w:val="es"/>
              </w:rPr>
              <w:t>MCLG</w:t>
            </w:r>
          </w:p>
        </w:tc>
        <w:tc>
          <w:tcPr>
            <w:tcW w:w="523" w:type="dxa"/>
            <w:tcBorders>
              <w:top w:val="single" w:sz="4" w:space="0" w:color="000000"/>
              <w:left w:val="single" w:sz="4" w:space="0" w:color="000000"/>
              <w:bottom w:val="single" w:sz="4" w:space="0" w:color="000000"/>
              <w:right w:val="nil"/>
            </w:tcBorders>
            <w:vAlign w:val="center"/>
          </w:tcPr>
          <w:p w14:paraId="0E0C446A" w14:textId="77777777" w:rsidR="00616D13" w:rsidRDefault="00616D13" w:rsidP="00616D13">
            <w:pPr>
              <w:snapToGrid w:val="0"/>
              <w:jc w:val="center"/>
              <w:rPr>
                <w:b/>
                <w:sz w:val="18"/>
              </w:rPr>
            </w:pPr>
            <w:r>
              <w:rPr>
                <w:b/>
                <w:sz w:val="18"/>
                <w:lang w:val="es"/>
              </w:rPr>
              <w:t>MCL (en inglés)</w:t>
            </w:r>
          </w:p>
        </w:tc>
        <w:tc>
          <w:tcPr>
            <w:tcW w:w="1989" w:type="dxa"/>
            <w:tcBorders>
              <w:top w:val="single" w:sz="4" w:space="0" w:color="000000"/>
              <w:left w:val="single" w:sz="4" w:space="0" w:color="000000"/>
              <w:bottom w:val="single" w:sz="4" w:space="0" w:color="000000"/>
              <w:right w:val="single" w:sz="4" w:space="0" w:color="000000"/>
            </w:tcBorders>
            <w:vAlign w:val="center"/>
          </w:tcPr>
          <w:p w14:paraId="07A949FD" w14:textId="77777777" w:rsidR="00616D13" w:rsidRDefault="00616D13" w:rsidP="00616D13">
            <w:pPr>
              <w:snapToGrid w:val="0"/>
              <w:jc w:val="center"/>
              <w:rPr>
                <w:b/>
                <w:sz w:val="18"/>
              </w:rPr>
            </w:pPr>
            <w:r>
              <w:rPr>
                <w:b/>
                <w:sz w:val="18"/>
                <w:lang w:val="es"/>
              </w:rPr>
              <w:t>Fuente probable de contaminación</w:t>
            </w:r>
          </w:p>
        </w:tc>
      </w:tr>
      <w:tr w:rsidR="00616D13" w14:paraId="43ECD732" w14:textId="77777777" w:rsidTr="00616D13">
        <w:trPr>
          <w:gridAfter w:val="1"/>
          <w:wAfter w:w="260" w:type="dxa"/>
          <w:cantSplit/>
          <w:trHeight w:val="458"/>
        </w:trPr>
        <w:tc>
          <w:tcPr>
            <w:tcW w:w="1452" w:type="dxa"/>
            <w:tcBorders>
              <w:top w:val="single" w:sz="4" w:space="0" w:color="000000"/>
              <w:left w:val="single" w:sz="4" w:space="0" w:color="000000"/>
              <w:bottom w:val="single" w:sz="4" w:space="0" w:color="000000"/>
              <w:right w:val="nil"/>
            </w:tcBorders>
            <w:vAlign w:val="center"/>
          </w:tcPr>
          <w:p w14:paraId="7462AFBB" w14:textId="77777777" w:rsidR="00616D13" w:rsidRDefault="00616D13" w:rsidP="00616D13">
            <w:pPr>
              <w:snapToGrid w:val="0"/>
              <w:rPr>
                <w:sz w:val="18"/>
              </w:rPr>
            </w:pPr>
            <w:r>
              <w:rPr>
                <w:sz w:val="18"/>
                <w:lang w:val="es"/>
              </w:rPr>
              <w:t xml:space="preserve"> Emisores alfa (</w:t>
            </w:r>
            <w:proofErr w:type="spellStart"/>
            <w:r>
              <w:rPr>
                <w:sz w:val="18"/>
                <w:lang w:val="es"/>
              </w:rPr>
              <w:t>pCi</w:t>
            </w:r>
            <w:proofErr w:type="spellEnd"/>
            <w:r>
              <w:rPr>
                <w:sz w:val="18"/>
                <w:lang w:val="es"/>
              </w:rPr>
              <w:t>/L)</w:t>
            </w:r>
          </w:p>
        </w:tc>
        <w:tc>
          <w:tcPr>
            <w:tcW w:w="949" w:type="dxa"/>
            <w:tcBorders>
              <w:top w:val="single" w:sz="4" w:space="0" w:color="000000"/>
              <w:left w:val="single" w:sz="4" w:space="0" w:color="000000"/>
              <w:bottom w:val="single" w:sz="4" w:space="0" w:color="000000"/>
              <w:right w:val="nil"/>
            </w:tcBorders>
            <w:vAlign w:val="center"/>
          </w:tcPr>
          <w:p w14:paraId="08FC8D87" w14:textId="77777777" w:rsidR="00616D13" w:rsidRDefault="00616D13" w:rsidP="00616D13">
            <w:pPr>
              <w:snapToGrid w:val="0"/>
              <w:jc w:val="center"/>
              <w:rPr>
                <w:sz w:val="18"/>
              </w:rPr>
            </w:pPr>
            <w:r>
              <w:rPr>
                <w:sz w:val="18"/>
                <w:lang w:val="es"/>
              </w:rPr>
              <w:t>2/18</w:t>
            </w:r>
          </w:p>
        </w:tc>
        <w:tc>
          <w:tcPr>
            <w:tcW w:w="847" w:type="dxa"/>
            <w:tcBorders>
              <w:top w:val="single" w:sz="4" w:space="0" w:color="000000"/>
              <w:left w:val="single" w:sz="4" w:space="0" w:color="000000"/>
              <w:bottom w:val="single" w:sz="4" w:space="0" w:color="000000"/>
              <w:right w:val="nil"/>
            </w:tcBorders>
            <w:vAlign w:val="center"/>
          </w:tcPr>
          <w:p w14:paraId="5BCE196E" w14:textId="77777777" w:rsidR="00616D13" w:rsidRDefault="00616D13" w:rsidP="00616D13">
            <w:pPr>
              <w:snapToGrid w:val="0"/>
              <w:jc w:val="center"/>
              <w:rPr>
                <w:sz w:val="18"/>
              </w:rPr>
            </w:pPr>
            <w:r>
              <w:rPr>
                <w:sz w:val="18"/>
                <w:lang w:val="es"/>
              </w:rPr>
              <w:t>N</w:t>
            </w:r>
          </w:p>
        </w:tc>
        <w:tc>
          <w:tcPr>
            <w:tcW w:w="1127" w:type="dxa"/>
            <w:tcBorders>
              <w:top w:val="single" w:sz="4" w:space="0" w:color="000000"/>
              <w:left w:val="single" w:sz="4" w:space="0" w:color="000000"/>
              <w:bottom w:val="single" w:sz="4" w:space="0" w:color="000000"/>
              <w:right w:val="nil"/>
            </w:tcBorders>
            <w:vAlign w:val="center"/>
          </w:tcPr>
          <w:p w14:paraId="0CB2834E" w14:textId="77777777" w:rsidR="00616D13" w:rsidRDefault="00616D13" w:rsidP="00616D13">
            <w:pPr>
              <w:snapToGrid w:val="0"/>
              <w:jc w:val="center"/>
              <w:rPr>
                <w:sz w:val="18"/>
              </w:rPr>
            </w:pPr>
            <w:r>
              <w:rPr>
                <w:sz w:val="18"/>
                <w:lang w:val="es"/>
              </w:rPr>
              <w:t>7.03</w:t>
            </w:r>
          </w:p>
        </w:tc>
        <w:tc>
          <w:tcPr>
            <w:tcW w:w="684" w:type="dxa"/>
            <w:tcBorders>
              <w:top w:val="single" w:sz="4" w:space="0" w:color="000000"/>
              <w:left w:val="single" w:sz="4" w:space="0" w:color="000000"/>
              <w:bottom w:val="single" w:sz="4" w:space="0" w:color="000000"/>
              <w:right w:val="nil"/>
            </w:tcBorders>
            <w:vAlign w:val="center"/>
          </w:tcPr>
          <w:p w14:paraId="376401DB" w14:textId="77777777" w:rsidR="00616D13" w:rsidRDefault="00616D13" w:rsidP="00616D13">
            <w:pPr>
              <w:snapToGrid w:val="0"/>
              <w:jc w:val="center"/>
              <w:rPr>
                <w:sz w:val="18"/>
              </w:rPr>
            </w:pPr>
            <w:r>
              <w:rPr>
                <w:sz w:val="18"/>
                <w:lang w:val="es"/>
              </w:rPr>
              <w:t>N/A</w:t>
            </w:r>
          </w:p>
        </w:tc>
        <w:tc>
          <w:tcPr>
            <w:tcW w:w="2874" w:type="dxa"/>
            <w:tcBorders>
              <w:top w:val="single" w:sz="4" w:space="0" w:color="000000"/>
              <w:left w:val="single" w:sz="4" w:space="0" w:color="000000"/>
              <w:bottom w:val="single" w:sz="4" w:space="0" w:color="000000"/>
              <w:right w:val="nil"/>
            </w:tcBorders>
            <w:vAlign w:val="center"/>
          </w:tcPr>
          <w:p w14:paraId="12A80315" w14:textId="77777777" w:rsidR="00616D13" w:rsidRDefault="00616D13" w:rsidP="00616D13">
            <w:pPr>
              <w:snapToGrid w:val="0"/>
              <w:jc w:val="center"/>
              <w:rPr>
                <w:sz w:val="18"/>
              </w:rPr>
            </w:pPr>
            <w:r>
              <w:rPr>
                <w:sz w:val="18"/>
                <w:lang w:val="es"/>
              </w:rPr>
              <w:t>0</w:t>
            </w:r>
          </w:p>
        </w:tc>
        <w:tc>
          <w:tcPr>
            <w:tcW w:w="523" w:type="dxa"/>
            <w:tcBorders>
              <w:top w:val="single" w:sz="4" w:space="0" w:color="000000"/>
              <w:left w:val="single" w:sz="4" w:space="0" w:color="000000"/>
              <w:bottom w:val="single" w:sz="4" w:space="0" w:color="000000"/>
              <w:right w:val="nil"/>
            </w:tcBorders>
            <w:vAlign w:val="center"/>
          </w:tcPr>
          <w:p w14:paraId="528AEBE8" w14:textId="77777777" w:rsidR="00616D13" w:rsidRDefault="00616D13" w:rsidP="00616D13">
            <w:pPr>
              <w:snapToGrid w:val="0"/>
              <w:jc w:val="center"/>
              <w:rPr>
                <w:sz w:val="18"/>
              </w:rPr>
            </w:pPr>
            <w:r>
              <w:rPr>
                <w:sz w:val="18"/>
                <w:lang w:val="es"/>
              </w:rPr>
              <w:t>15</w:t>
            </w:r>
          </w:p>
        </w:tc>
        <w:tc>
          <w:tcPr>
            <w:tcW w:w="1989" w:type="dxa"/>
            <w:tcBorders>
              <w:top w:val="single" w:sz="4" w:space="0" w:color="000000"/>
              <w:left w:val="single" w:sz="4" w:space="0" w:color="000000"/>
              <w:bottom w:val="single" w:sz="4" w:space="0" w:color="000000"/>
              <w:right w:val="single" w:sz="4" w:space="0" w:color="000000"/>
            </w:tcBorders>
            <w:vAlign w:val="center"/>
          </w:tcPr>
          <w:p w14:paraId="368914B9" w14:textId="77777777" w:rsidR="00616D13" w:rsidRDefault="00616D13" w:rsidP="00616D13">
            <w:pPr>
              <w:snapToGrid w:val="0"/>
              <w:jc w:val="center"/>
              <w:rPr>
                <w:sz w:val="18"/>
              </w:rPr>
            </w:pPr>
            <w:r>
              <w:rPr>
                <w:sz w:val="18"/>
                <w:lang w:val="es"/>
              </w:rPr>
              <w:t>Erosión de los depósitos naturales</w:t>
            </w:r>
          </w:p>
        </w:tc>
      </w:tr>
      <w:tr w:rsidR="00616D13" w14:paraId="34569780" w14:textId="77777777" w:rsidTr="00616D13">
        <w:trPr>
          <w:gridAfter w:val="1"/>
          <w:wAfter w:w="260" w:type="dxa"/>
          <w:cantSplit/>
          <w:trHeight w:val="602"/>
        </w:trPr>
        <w:tc>
          <w:tcPr>
            <w:tcW w:w="1452" w:type="dxa"/>
            <w:tcBorders>
              <w:top w:val="single" w:sz="4" w:space="0" w:color="000000"/>
              <w:left w:val="single" w:sz="4" w:space="0" w:color="000000"/>
              <w:bottom w:val="single" w:sz="4" w:space="0" w:color="000000"/>
              <w:right w:val="nil"/>
            </w:tcBorders>
            <w:vAlign w:val="center"/>
            <w:hideMark/>
          </w:tcPr>
          <w:p w14:paraId="700878C5" w14:textId="77777777" w:rsidR="00616D13" w:rsidRDefault="00616D13" w:rsidP="00616D13">
            <w:pPr>
              <w:snapToGrid w:val="0"/>
              <w:rPr>
                <w:sz w:val="18"/>
              </w:rPr>
            </w:pPr>
            <w:r>
              <w:rPr>
                <w:sz w:val="18"/>
                <w:lang w:val="es"/>
              </w:rPr>
              <w:t xml:space="preserve"> Radio 226 + 228 o radio combinado (</w:t>
            </w:r>
            <w:proofErr w:type="spellStart"/>
            <w:r>
              <w:rPr>
                <w:sz w:val="18"/>
                <w:lang w:val="es"/>
              </w:rPr>
              <w:t>pCi</w:t>
            </w:r>
            <w:proofErr w:type="spellEnd"/>
            <w:r>
              <w:rPr>
                <w:sz w:val="18"/>
                <w:lang w:val="es"/>
              </w:rPr>
              <w:t>/L)</w:t>
            </w:r>
          </w:p>
        </w:tc>
        <w:tc>
          <w:tcPr>
            <w:tcW w:w="949" w:type="dxa"/>
            <w:tcBorders>
              <w:top w:val="single" w:sz="4" w:space="0" w:color="000000"/>
              <w:left w:val="single" w:sz="4" w:space="0" w:color="000000"/>
              <w:bottom w:val="single" w:sz="4" w:space="0" w:color="000000"/>
              <w:right w:val="nil"/>
            </w:tcBorders>
            <w:vAlign w:val="center"/>
            <w:hideMark/>
          </w:tcPr>
          <w:p w14:paraId="100E1515" w14:textId="77777777" w:rsidR="00616D13" w:rsidRDefault="00616D13" w:rsidP="00616D13">
            <w:pPr>
              <w:snapToGrid w:val="0"/>
              <w:jc w:val="center"/>
              <w:rPr>
                <w:sz w:val="18"/>
              </w:rPr>
            </w:pPr>
            <w:r>
              <w:rPr>
                <w:sz w:val="18"/>
                <w:lang w:val="es"/>
              </w:rPr>
              <w:t>8/21</w:t>
            </w:r>
          </w:p>
        </w:tc>
        <w:tc>
          <w:tcPr>
            <w:tcW w:w="847" w:type="dxa"/>
            <w:tcBorders>
              <w:top w:val="single" w:sz="4" w:space="0" w:color="000000"/>
              <w:left w:val="single" w:sz="4" w:space="0" w:color="000000"/>
              <w:bottom w:val="single" w:sz="4" w:space="0" w:color="000000"/>
              <w:right w:val="nil"/>
            </w:tcBorders>
            <w:vAlign w:val="center"/>
            <w:hideMark/>
          </w:tcPr>
          <w:p w14:paraId="074B6F52" w14:textId="77777777" w:rsidR="00616D13" w:rsidRDefault="00616D13" w:rsidP="00616D13">
            <w:pPr>
              <w:snapToGrid w:val="0"/>
              <w:jc w:val="center"/>
              <w:rPr>
                <w:sz w:val="18"/>
              </w:rPr>
            </w:pPr>
            <w:r>
              <w:rPr>
                <w:sz w:val="18"/>
                <w:lang w:val="es"/>
              </w:rPr>
              <w:t>N</w:t>
            </w:r>
          </w:p>
        </w:tc>
        <w:tc>
          <w:tcPr>
            <w:tcW w:w="1127" w:type="dxa"/>
            <w:tcBorders>
              <w:top w:val="single" w:sz="4" w:space="0" w:color="000000"/>
              <w:left w:val="single" w:sz="4" w:space="0" w:color="000000"/>
              <w:bottom w:val="single" w:sz="4" w:space="0" w:color="000000"/>
              <w:right w:val="nil"/>
            </w:tcBorders>
            <w:vAlign w:val="center"/>
            <w:hideMark/>
          </w:tcPr>
          <w:p w14:paraId="73FA421A" w14:textId="77777777" w:rsidR="00616D13" w:rsidRDefault="00616D13" w:rsidP="00616D13">
            <w:pPr>
              <w:snapToGrid w:val="0"/>
              <w:jc w:val="center"/>
              <w:rPr>
                <w:sz w:val="18"/>
              </w:rPr>
            </w:pPr>
            <w:r>
              <w:rPr>
                <w:sz w:val="18"/>
                <w:lang w:val="es"/>
              </w:rPr>
              <w:t>3.1</w:t>
            </w:r>
          </w:p>
        </w:tc>
        <w:tc>
          <w:tcPr>
            <w:tcW w:w="684" w:type="dxa"/>
            <w:tcBorders>
              <w:top w:val="single" w:sz="4" w:space="0" w:color="000000"/>
              <w:left w:val="single" w:sz="4" w:space="0" w:color="000000"/>
              <w:bottom w:val="single" w:sz="4" w:space="0" w:color="000000"/>
              <w:right w:val="nil"/>
            </w:tcBorders>
            <w:vAlign w:val="center"/>
            <w:hideMark/>
          </w:tcPr>
          <w:p w14:paraId="62C6CAD1" w14:textId="77777777" w:rsidR="00616D13" w:rsidRDefault="00616D13" w:rsidP="00616D13">
            <w:pPr>
              <w:snapToGrid w:val="0"/>
              <w:rPr>
                <w:sz w:val="18"/>
              </w:rPr>
            </w:pPr>
            <w:r>
              <w:rPr>
                <w:sz w:val="18"/>
                <w:lang w:val="es"/>
              </w:rPr>
              <w:t xml:space="preserve"> 0.9-2.2</w:t>
            </w:r>
          </w:p>
        </w:tc>
        <w:tc>
          <w:tcPr>
            <w:tcW w:w="2874" w:type="dxa"/>
            <w:tcBorders>
              <w:top w:val="single" w:sz="4" w:space="0" w:color="000000"/>
              <w:left w:val="single" w:sz="4" w:space="0" w:color="000000"/>
              <w:bottom w:val="single" w:sz="4" w:space="0" w:color="000000"/>
              <w:right w:val="nil"/>
            </w:tcBorders>
            <w:vAlign w:val="center"/>
            <w:hideMark/>
          </w:tcPr>
          <w:p w14:paraId="7F5F9900" w14:textId="77777777" w:rsidR="00616D13" w:rsidRDefault="00616D13" w:rsidP="00616D13">
            <w:pPr>
              <w:snapToGrid w:val="0"/>
              <w:jc w:val="center"/>
              <w:rPr>
                <w:sz w:val="18"/>
              </w:rPr>
            </w:pPr>
            <w:r>
              <w:rPr>
                <w:sz w:val="18"/>
                <w:lang w:val="es"/>
              </w:rPr>
              <w:t>0</w:t>
            </w:r>
          </w:p>
        </w:tc>
        <w:tc>
          <w:tcPr>
            <w:tcW w:w="523" w:type="dxa"/>
            <w:tcBorders>
              <w:top w:val="single" w:sz="4" w:space="0" w:color="000000"/>
              <w:left w:val="single" w:sz="4" w:space="0" w:color="000000"/>
              <w:bottom w:val="single" w:sz="4" w:space="0" w:color="000000"/>
              <w:right w:val="nil"/>
            </w:tcBorders>
            <w:vAlign w:val="center"/>
            <w:hideMark/>
          </w:tcPr>
          <w:p w14:paraId="117D967B" w14:textId="77777777" w:rsidR="00616D13" w:rsidRDefault="00616D13" w:rsidP="00616D13">
            <w:pPr>
              <w:snapToGrid w:val="0"/>
              <w:jc w:val="center"/>
              <w:rPr>
                <w:sz w:val="18"/>
              </w:rPr>
            </w:pPr>
            <w:r>
              <w:rPr>
                <w:sz w:val="18"/>
                <w:lang w:val="es"/>
              </w:rPr>
              <w:t>5</w:t>
            </w:r>
          </w:p>
        </w:tc>
        <w:tc>
          <w:tcPr>
            <w:tcW w:w="1989" w:type="dxa"/>
            <w:tcBorders>
              <w:top w:val="single" w:sz="4" w:space="0" w:color="000000"/>
              <w:left w:val="single" w:sz="4" w:space="0" w:color="000000"/>
              <w:bottom w:val="single" w:sz="4" w:space="0" w:color="000000"/>
              <w:right w:val="single" w:sz="4" w:space="0" w:color="000000"/>
            </w:tcBorders>
            <w:vAlign w:val="center"/>
          </w:tcPr>
          <w:p w14:paraId="1A029B5E" w14:textId="77777777" w:rsidR="00616D13" w:rsidRDefault="00616D13" w:rsidP="00616D13">
            <w:pPr>
              <w:snapToGrid w:val="0"/>
              <w:jc w:val="center"/>
              <w:rPr>
                <w:sz w:val="18"/>
              </w:rPr>
            </w:pPr>
          </w:p>
          <w:p w14:paraId="710F1ED7" w14:textId="77777777" w:rsidR="00616D13" w:rsidRDefault="00616D13" w:rsidP="00616D13">
            <w:pPr>
              <w:snapToGrid w:val="0"/>
              <w:jc w:val="center"/>
              <w:rPr>
                <w:sz w:val="18"/>
              </w:rPr>
            </w:pPr>
            <w:r>
              <w:rPr>
                <w:sz w:val="18"/>
                <w:lang w:val="es"/>
              </w:rPr>
              <w:t>Erosión de los depósitos naturales</w:t>
            </w:r>
          </w:p>
          <w:p w14:paraId="6C1F190F" w14:textId="77777777" w:rsidR="00616D13" w:rsidRDefault="00616D13" w:rsidP="00616D13">
            <w:pPr>
              <w:snapToGrid w:val="0"/>
              <w:rPr>
                <w:sz w:val="18"/>
              </w:rPr>
            </w:pPr>
          </w:p>
          <w:p w14:paraId="00115781" w14:textId="77777777" w:rsidR="00616D13" w:rsidRDefault="00616D13" w:rsidP="00616D13">
            <w:pPr>
              <w:snapToGrid w:val="0"/>
              <w:rPr>
                <w:sz w:val="18"/>
              </w:rPr>
            </w:pPr>
          </w:p>
        </w:tc>
      </w:tr>
      <w:tr w:rsidR="00616D13" w14:paraId="39210CCD" w14:textId="77777777" w:rsidTr="00616D13">
        <w:trPr>
          <w:cantSplit/>
          <w:trHeight w:val="323"/>
        </w:trPr>
        <w:tc>
          <w:tcPr>
            <w:tcW w:w="10705" w:type="dxa"/>
            <w:gridSpan w:val="9"/>
            <w:tcBorders>
              <w:right w:val="nil"/>
            </w:tcBorders>
            <w:tcMar>
              <w:top w:w="0" w:type="dxa"/>
              <w:left w:w="100" w:type="dxa"/>
              <w:bottom w:w="0" w:type="dxa"/>
              <w:right w:w="100" w:type="dxa"/>
            </w:tcMar>
            <w:vAlign w:val="center"/>
            <w:hideMark/>
          </w:tcPr>
          <w:p w14:paraId="78FEE6B6" w14:textId="77777777" w:rsidR="00616D13" w:rsidRDefault="00616D13" w:rsidP="00616D13">
            <w:pPr>
              <w:pStyle w:val="Heading1"/>
              <w:widowControl/>
              <w:snapToGrid w:val="0"/>
              <w:spacing w:before="0" w:after="0"/>
              <w:ind w:left="3168" w:hanging="3168"/>
              <w:rPr>
                <w:rFonts w:ascii="Times New Roman" w:hAnsi="Times New Roman"/>
              </w:rPr>
            </w:pPr>
          </w:p>
          <w:p w14:paraId="65E5BA18" w14:textId="77777777" w:rsidR="00616D13" w:rsidRDefault="00616D13" w:rsidP="00616D13">
            <w:pPr>
              <w:pStyle w:val="Heading1"/>
              <w:widowControl/>
              <w:snapToGrid w:val="0"/>
              <w:spacing w:before="0" w:after="0"/>
              <w:ind w:left="3168" w:hanging="3168"/>
              <w:rPr>
                <w:rFonts w:ascii="Times New Roman" w:hAnsi="Times New Roman"/>
              </w:rPr>
            </w:pPr>
            <w:r>
              <w:rPr>
                <w:lang w:val="es"/>
              </w:rPr>
              <w:t xml:space="preserve">Contaminantes inorgánicos </w:t>
            </w:r>
          </w:p>
        </w:tc>
      </w:tr>
      <w:tr w:rsidR="00616D13" w14:paraId="30F099EB" w14:textId="77777777" w:rsidTr="00616D13">
        <w:trPr>
          <w:gridAfter w:val="1"/>
          <w:wAfter w:w="260" w:type="dxa"/>
          <w:cantSplit/>
          <w:trHeight w:val="782"/>
        </w:trPr>
        <w:tc>
          <w:tcPr>
            <w:tcW w:w="1452" w:type="dxa"/>
            <w:tcBorders>
              <w:top w:val="single" w:sz="4" w:space="0" w:color="000000"/>
              <w:left w:val="single" w:sz="4" w:space="0" w:color="000000"/>
              <w:bottom w:val="single" w:sz="4" w:space="0" w:color="000000"/>
              <w:right w:val="nil"/>
            </w:tcBorders>
            <w:vAlign w:val="center"/>
          </w:tcPr>
          <w:p w14:paraId="43F4E565" w14:textId="77777777" w:rsidR="00616D13" w:rsidRDefault="00616D13" w:rsidP="00616D13">
            <w:pPr>
              <w:snapToGrid w:val="0"/>
              <w:rPr>
                <w:b/>
                <w:sz w:val="18"/>
              </w:rPr>
            </w:pPr>
            <w:r>
              <w:rPr>
                <w:b/>
                <w:sz w:val="18"/>
                <w:lang w:val="es"/>
              </w:rPr>
              <w:t>Contaminante y unidad de medida</w:t>
            </w:r>
          </w:p>
        </w:tc>
        <w:tc>
          <w:tcPr>
            <w:tcW w:w="949" w:type="dxa"/>
            <w:tcBorders>
              <w:top w:val="single" w:sz="4" w:space="0" w:color="000000"/>
              <w:left w:val="single" w:sz="4" w:space="0" w:color="000000"/>
              <w:bottom w:val="single" w:sz="4" w:space="0" w:color="000000"/>
              <w:right w:val="nil"/>
            </w:tcBorders>
            <w:vAlign w:val="center"/>
          </w:tcPr>
          <w:p w14:paraId="25113420" w14:textId="77777777" w:rsidR="00616D13" w:rsidRDefault="00616D13" w:rsidP="00616D13">
            <w:pPr>
              <w:snapToGrid w:val="0"/>
              <w:jc w:val="center"/>
              <w:rPr>
                <w:b/>
                <w:sz w:val="18"/>
              </w:rPr>
            </w:pPr>
            <w:r>
              <w:rPr>
                <w:b/>
                <w:sz w:val="18"/>
                <w:lang w:val="es"/>
              </w:rPr>
              <w:t>Fechas de muestreo (mo./año)</w:t>
            </w:r>
          </w:p>
        </w:tc>
        <w:tc>
          <w:tcPr>
            <w:tcW w:w="847" w:type="dxa"/>
            <w:tcBorders>
              <w:top w:val="single" w:sz="4" w:space="0" w:color="000000"/>
              <w:left w:val="single" w:sz="4" w:space="0" w:color="000000"/>
              <w:bottom w:val="single" w:sz="4" w:space="0" w:color="000000"/>
              <w:right w:val="nil"/>
            </w:tcBorders>
            <w:vAlign w:val="center"/>
          </w:tcPr>
          <w:p w14:paraId="200980B3" w14:textId="77777777" w:rsidR="00616D13" w:rsidRDefault="00616D13" w:rsidP="00616D13">
            <w:pPr>
              <w:snapToGrid w:val="0"/>
              <w:jc w:val="center"/>
              <w:rPr>
                <w:b/>
                <w:sz w:val="18"/>
              </w:rPr>
            </w:pPr>
            <w:r>
              <w:rPr>
                <w:b/>
                <w:sz w:val="18"/>
                <w:lang w:val="es"/>
              </w:rPr>
              <w:t>Violación de MCL Y/N</w:t>
            </w:r>
          </w:p>
        </w:tc>
        <w:tc>
          <w:tcPr>
            <w:tcW w:w="1127" w:type="dxa"/>
            <w:tcBorders>
              <w:top w:val="single" w:sz="4" w:space="0" w:color="000000"/>
              <w:left w:val="single" w:sz="4" w:space="0" w:color="000000"/>
              <w:bottom w:val="single" w:sz="4" w:space="0" w:color="000000"/>
              <w:right w:val="nil"/>
            </w:tcBorders>
            <w:vAlign w:val="center"/>
          </w:tcPr>
          <w:p w14:paraId="279B1B09" w14:textId="77777777" w:rsidR="00616D13" w:rsidRDefault="00616D13" w:rsidP="00616D13">
            <w:pPr>
              <w:snapToGrid w:val="0"/>
              <w:jc w:val="center"/>
              <w:rPr>
                <w:b/>
                <w:sz w:val="18"/>
              </w:rPr>
            </w:pPr>
            <w:r>
              <w:rPr>
                <w:b/>
                <w:sz w:val="18"/>
                <w:lang w:val="es"/>
              </w:rPr>
              <w:t>Nivel detectado</w:t>
            </w:r>
          </w:p>
        </w:tc>
        <w:tc>
          <w:tcPr>
            <w:tcW w:w="684" w:type="dxa"/>
            <w:tcBorders>
              <w:top w:val="single" w:sz="4" w:space="0" w:color="000000"/>
              <w:left w:val="single" w:sz="4" w:space="0" w:color="000000"/>
              <w:bottom w:val="single" w:sz="4" w:space="0" w:color="000000"/>
              <w:right w:val="nil"/>
            </w:tcBorders>
            <w:vAlign w:val="center"/>
          </w:tcPr>
          <w:p w14:paraId="0468F11B" w14:textId="77777777" w:rsidR="00616D13" w:rsidRDefault="00616D13" w:rsidP="00616D13">
            <w:pPr>
              <w:snapToGrid w:val="0"/>
              <w:jc w:val="center"/>
              <w:rPr>
                <w:b/>
                <w:sz w:val="18"/>
              </w:rPr>
            </w:pPr>
            <w:r>
              <w:rPr>
                <w:b/>
                <w:sz w:val="18"/>
                <w:lang w:val="es"/>
              </w:rPr>
              <w:t>Rango de resultados</w:t>
            </w:r>
          </w:p>
        </w:tc>
        <w:tc>
          <w:tcPr>
            <w:tcW w:w="2874" w:type="dxa"/>
            <w:tcBorders>
              <w:top w:val="single" w:sz="4" w:space="0" w:color="000000"/>
              <w:left w:val="single" w:sz="4" w:space="0" w:color="000000"/>
              <w:bottom w:val="single" w:sz="4" w:space="0" w:color="000000"/>
              <w:right w:val="nil"/>
            </w:tcBorders>
            <w:vAlign w:val="center"/>
          </w:tcPr>
          <w:p w14:paraId="48F63B33" w14:textId="77777777" w:rsidR="00616D13" w:rsidRDefault="00616D13" w:rsidP="00616D13">
            <w:pPr>
              <w:snapToGrid w:val="0"/>
              <w:jc w:val="center"/>
              <w:rPr>
                <w:b/>
                <w:sz w:val="16"/>
              </w:rPr>
            </w:pPr>
            <w:r>
              <w:rPr>
                <w:b/>
                <w:sz w:val="16"/>
                <w:lang w:val="es"/>
              </w:rPr>
              <w:t>MCLG</w:t>
            </w:r>
          </w:p>
        </w:tc>
        <w:tc>
          <w:tcPr>
            <w:tcW w:w="523" w:type="dxa"/>
            <w:tcBorders>
              <w:top w:val="single" w:sz="4" w:space="0" w:color="000000"/>
              <w:left w:val="single" w:sz="4" w:space="0" w:color="000000"/>
              <w:bottom w:val="single" w:sz="4" w:space="0" w:color="000000"/>
              <w:right w:val="nil"/>
            </w:tcBorders>
            <w:vAlign w:val="center"/>
          </w:tcPr>
          <w:p w14:paraId="2949FBAE" w14:textId="77777777" w:rsidR="00616D13" w:rsidRDefault="00616D13" w:rsidP="00616D13">
            <w:pPr>
              <w:snapToGrid w:val="0"/>
              <w:jc w:val="center"/>
              <w:rPr>
                <w:b/>
                <w:sz w:val="18"/>
              </w:rPr>
            </w:pPr>
            <w:r>
              <w:rPr>
                <w:b/>
                <w:sz w:val="18"/>
                <w:lang w:val="es"/>
              </w:rPr>
              <w:t>MCL (en inglés)</w:t>
            </w:r>
          </w:p>
        </w:tc>
        <w:tc>
          <w:tcPr>
            <w:tcW w:w="1989" w:type="dxa"/>
            <w:tcBorders>
              <w:top w:val="single" w:sz="4" w:space="0" w:color="000000"/>
              <w:left w:val="single" w:sz="4" w:space="0" w:color="000000"/>
              <w:bottom w:val="single" w:sz="4" w:space="0" w:color="000000"/>
              <w:right w:val="single" w:sz="4" w:space="0" w:color="000000"/>
            </w:tcBorders>
            <w:vAlign w:val="center"/>
          </w:tcPr>
          <w:p w14:paraId="1649081F" w14:textId="77777777" w:rsidR="00616D13" w:rsidRDefault="00616D13" w:rsidP="00616D13">
            <w:pPr>
              <w:snapToGrid w:val="0"/>
              <w:jc w:val="center"/>
              <w:rPr>
                <w:b/>
                <w:sz w:val="18"/>
              </w:rPr>
            </w:pPr>
            <w:r>
              <w:rPr>
                <w:b/>
                <w:sz w:val="18"/>
                <w:lang w:val="es"/>
              </w:rPr>
              <w:t>Fuente probable de contaminación</w:t>
            </w:r>
          </w:p>
          <w:p w14:paraId="0AC952CC" w14:textId="77777777" w:rsidR="00616D13" w:rsidRDefault="00616D13" w:rsidP="00616D13">
            <w:pPr>
              <w:snapToGrid w:val="0"/>
              <w:rPr>
                <w:b/>
                <w:sz w:val="18"/>
              </w:rPr>
            </w:pPr>
          </w:p>
          <w:p w14:paraId="687A252A" w14:textId="77777777" w:rsidR="00616D13" w:rsidRDefault="00616D13" w:rsidP="00616D13">
            <w:pPr>
              <w:snapToGrid w:val="0"/>
              <w:rPr>
                <w:b/>
                <w:sz w:val="18"/>
              </w:rPr>
            </w:pPr>
          </w:p>
        </w:tc>
      </w:tr>
      <w:tr w:rsidR="00616D13" w14:paraId="28533321" w14:textId="77777777" w:rsidTr="00616D13">
        <w:trPr>
          <w:gridAfter w:val="1"/>
          <w:wAfter w:w="260" w:type="dxa"/>
          <w:cantSplit/>
          <w:trHeight w:val="782"/>
        </w:trPr>
        <w:tc>
          <w:tcPr>
            <w:tcW w:w="1452" w:type="dxa"/>
            <w:tcBorders>
              <w:top w:val="single" w:sz="4" w:space="0" w:color="000000"/>
              <w:left w:val="single" w:sz="4" w:space="0" w:color="000000"/>
              <w:bottom w:val="single" w:sz="4" w:space="0" w:color="000000"/>
              <w:right w:val="nil"/>
            </w:tcBorders>
            <w:vAlign w:val="center"/>
            <w:hideMark/>
          </w:tcPr>
          <w:p w14:paraId="194DA829" w14:textId="77777777" w:rsidR="00616D13" w:rsidRDefault="00616D13" w:rsidP="00616D13">
            <w:pPr>
              <w:tabs>
                <w:tab w:val="left" w:pos="1050"/>
              </w:tabs>
              <w:snapToGrid w:val="0"/>
              <w:ind w:left="350" w:hanging="350"/>
              <w:rPr>
                <w:sz w:val="18"/>
              </w:rPr>
            </w:pPr>
            <w:r>
              <w:rPr>
                <w:sz w:val="18"/>
                <w:lang w:val="es"/>
              </w:rPr>
              <w:t>Bario (ppm)</w:t>
            </w:r>
          </w:p>
        </w:tc>
        <w:tc>
          <w:tcPr>
            <w:tcW w:w="949" w:type="dxa"/>
            <w:tcBorders>
              <w:top w:val="single" w:sz="4" w:space="0" w:color="000000"/>
              <w:left w:val="single" w:sz="4" w:space="0" w:color="000000"/>
              <w:bottom w:val="single" w:sz="4" w:space="0" w:color="000000"/>
              <w:right w:val="nil"/>
            </w:tcBorders>
            <w:vAlign w:val="center"/>
            <w:hideMark/>
          </w:tcPr>
          <w:p w14:paraId="5338F3ED" w14:textId="77777777" w:rsidR="00616D13" w:rsidRDefault="00616D13" w:rsidP="00616D13">
            <w:pPr>
              <w:snapToGrid w:val="0"/>
              <w:jc w:val="center"/>
              <w:rPr>
                <w:sz w:val="18"/>
              </w:rPr>
            </w:pPr>
            <w:r>
              <w:rPr>
                <w:sz w:val="18"/>
                <w:lang w:val="es"/>
              </w:rPr>
              <w:t>11/21</w:t>
            </w:r>
          </w:p>
        </w:tc>
        <w:tc>
          <w:tcPr>
            <w:tcW w:w="847" w:type="dxa"/>
            <w:tcBorders>
              <w:top w:val="single" w:sz="4" w:space="0" w:color="000000"/>
              <w:left w:val="single" w:sz="4" w:space="0" w:color="000000"/>
              <w:bottom w:val="single" w:sz="4" w:space="0" w:color="000000"/>
              <w:right w:val="nil"/>
            </w:tcBorders>
            <w:vAlign w:val="center"/>
            <w:hideMark/>
          </w:tcPr>
          <w:p w14:paraId="4AF2AC6E" w14:textId="77777777" w:rsidR="00616D13" w:rsidRDefault="00616D13" w:rsidP="00616D13">
            <w:pPr>
              <w:snapToGrid w:val="0"/>
              <w:jc w:val="center"/>
              <w:rPr>
                <w:sz w:val="18"/>
              </w:rPr>
            </w:pPr>
            <w:r>
              <w:rPr>
                <w:sz w:val="18"/>
                <w:lang w:val="es"/>
              </w:rPr>
              <w:t>N</w:t>
            </w:r>
          </w:p>
        </w:tc>
        <w:tc>
          <w:tcPr>
            <w:tcW w:w="1127" w:type="dxa"/>
            <w:tcBorders>
              <w:top w:val="single" w:sz="4" w:space="0" w:color="000000"/>
              <w:left w:val="single" w:sz="4" w:space="0" w:color="000000"/>
              <w:bottom w:val="single" w:sz="4" w:space="0" w:color="000000"/>
              <w:right w:val="nil"/>
            </w:tcBorders>
            <w:vAlign w:val="center"/>
            <w:hideMark/>
          </w:tcPr>
          <w:p w14:paraId="5ACDCFED" w14:textId="77777777" w:rsidR="00616D13" w:rsidRDefault="00616D13" w:rsidP="00616D13">
            <w:pPr>
              <w:snapToGrid w:val="0"/>
              <w:jc w:val="center"/>
              <w:rPr>
                <w:sz w:val="18"/>
              </w:rPr>
            </w:pPr>
            <w:r>
              <w:rPr>
                <w:sz w:val="18"/>
                <w:lang w:val="es"/>
              </w:rPr>
              <w:t>0,0473</w:t>
            </w:r>
          </w:p>
        </w:tc>
        <w:tc>
          <w:tcPr>
            <w:tcW w:w="684" w:type="dxa"/>
            <w:tcBorders>
              <w:top w:val="single" w:sz="4" w:space="0" w:color="000000"/>
              <w:left w:val="single" w:sz="4" w:space="0" w:color="000000"/>
              <w:bottom w:val="single" w:sz="4" w:space="0" w:color="000000"/>
              <w:right w:val="nil"/>
            </w:tcBorders>
            <w:vAlign w:val="center"/>
            <w:hideMark/>
          </w:tcPr>
          <w:p w14:paraId="24AE9A61" w14:textId="77777777" w:rsidR="00616D13" w:rsidRDefault="00616D13" w:rsidP="00616D13">
            <w:pPr>
              <w:snapToGrid w:val="0"/>
              <w:jc w:val="center"/>
              <w:rPr>
                <w:sz w:val="18"/>
              </w:rPr>
            </w:pPr>
            <w:r>
              <w:rPr>
                <w:sz w:val="18"/>
                <w:lang w:val="es"/>
              </w:rPr>
              <w:t>N/A</w:t>
            </w:r>
          </w:p>
        </w:tc>
        <w:tc>
          <w:tcPr>
            <w:tcW w:w="2874" w:type="dxa"/>
            <w:tcBorders>
              <w:top w:val="single" w:sz="4" w:space="0" w:color="000000"/>
              <w:left w:val="single" w:sz="4" w:space="0" w:color="000000"/>
              <w:bottom w:val="single" w:sz="4" w:space="0" w:color="000000"/>
              <w:right w:val="nil"/>
            </w:tcBorders>
            <w:vAlign w:val="center"/>
            <w:hideMark/>
          </w:tcPr>
          <w:p w14:paraId="59654890" w14:textId="77777777" w:rsidR="00616D13" w:rsidRDefault="00616D13" w:rsidP="00616D13">
            <w:pPr>
              <w:snapToGrid w:val="0"/>
              <w:jc w:val="center"/>
              <w:rPr>
                <w:sz w:val="18"/>
              </w:rPr>
            </w:pPr>
            <w:r>
              <w:rPr>
                <w:sz w:val="18"/>
                <w:lang w:val="es"/>
              </w:rPr>
              <w:t>2</w:t>
            </w:r>
          </w:p>
        </w:tc>
        <w:tc>
          <w:tcPr>
            <w:tcW w:w="523" w:type="dxa"/>
            <w:tcBorders>
              <w:top w:val="single" w:sz="4" w:space="0" w:color="000000"/>
              <w:left w:val="single" w:sz="4" w:space="0" w:color="000000"/>
              <w:bottom w:val="single" w:sz="4" w:space="0" w:color="000000"/>
              <w:right w:val="nil"/>
            </w:tcBorders>
            <w:vAlign w:val="center"/>
            <w:hideMark/>
          </w:tcPr>
          <w:p w14:paraId="1D9DA78A" w14:textId="77777777" w:rsidR="00616D13" w:rsidRDefault="00616D13" w:rsidP="00616D13">
            <w:pPr>
              <w:snapToGrid w:val="0"/>
              <w:jc w:val="center"/>
              <w:rPr>
                <w:sz w:val="18"/>
              </w:rPr>
            </w:pPr>
            <w:r>
              <w:rPr>
                <w:sz w:val="18"/>
                <w:lang w:val="es"/>
              </w:rPr>
              <w:t>2</w:t>
            </w:r>
          </w:p>
        </w:tc>
        <w:tc>
          <w:tcPr>
            <w:tcW w:w="1989" w:type="dxa"/>
            <w:tcBorders>
              <w:top w:val="single" w:sz="4" w:space="0" w:color="000000"/>
              <w:left w:val="single" w:sz="4" w:space="0" w:color="000000"/>
              <w:bottom w:val="single" w:sz="4" w:space="0" w:color="000000"/>
              <w:right w:val="single" w:sz="4" w:space="0" w:color="000000"/>
            </w:tcBorders>
            <w:vAlign w:val="center"/>
            <w:hideMark/>
          </w:tcPr>
          <w:p w14:paraId="443109D6" w14:textId="77777777" w:rsidR="00616D13" w:rsidRDefault="00616D13" w:rsidP="00616D13">
            <w:pPr>
              <w:snapToGrid w:val="0"/>
              <w:rPr>
                <w:sz w:val="18"/>
              </w:rPr>
            </w:pPr>
            <w:r>
              <w:rPr>
                <w:sz w:val="18"/>
                <w:lang w:val="es"/>
              </w:rPr>
              <w:t>Descarga de desechos de perforación; Descarga de refinerías metálicas; Erosión de depósitos naturales.</w:t>
            </w:r>
          </w:p>
        </w:tc>
      </w:tr>
      <w:tr w:rsidR="00616D13" w14:paraId="39EDADAB" w14:textId="77777777" w:rsidTr="00616D13">
        <w:trPr>
          <w:gridAfter w:val="1"/>
          <w:wAfter w:w="260" w:type="dxa"/>
          <w:cantSplit/>
          <w:trHeight w:val="782"/>
        </w:trPr>
        <w:tc>
          <w:tcPr>
            <w:tcW w:w="1452" w:type="dxa"/>
            <w:tcBorders>
              <w:top w:val="single" w:sz="4" w:space="0" w:color="000000"/>
              <w:left w:val="single" w:sz="4" w:space="0" w:color="000000"/>
              <w:bottom w:val="single" w:sz="4" w:space="0" w:color="000000"/>
              <w:right w:val="nil"/>
            </w:tcBorders>
            <w:vAlign w:val="center"/>
          </w:tcPr>
          <w:p w14:paraId="1ADD5168" w14:textId="77777777" w:rsidR="00616D13" w:rsidRDefault="00616D13" w:rsidP="00616D13">
            <w:pPr>
              <w:tabs>
                <w:tab w:val="left" w:pos="1050"/>
              </w:tabs>
              <w:snapToGrid w:val="0"/>
              <w:ind w:left="350" w:hanging="350"/>
              <w:rPr>
                <w:sz w:val="18"/>
              </w:rPr>
            </w:pPr>
            <w:r>
              <w:rPr>
                <w:sz w:val="18"/>
                <w:lang w:val="es"/>
              </w:rPr>
              <w:t>Cromo (ppb)</w:t>
            </w:r>
          </w:p>
        </w:tc>
        <w:tc>
          <w:tcPr>
            <w:tcW w:w="949" w:type="dxa"/>
            <w:tcBorders>
              <w:top w:val="single" w:sz="4" w:space="0" w:color="000000"/>
              <w:left w:val="single" w:sz="4" w:space="0" w:color="000000"/>
              <w:bottom w:val="single" w:sz="4" w:space="0" w:color="000000"/>
              <w:right w:val="nil"/>
            </w:tcBorders>
            <w:vAlign w:val="center"/>
          </w:tcPr>
          <w:p w14:paraId="3788C325" w14:textId="77777777" w:rsidR="00616D13" w:rsidRDefault="00616D13" w:rsidP="00616D13">
            <w:pPr>
              <w:snapToGrid w:val="0"/>
              <w:jc w:val="center"/>
              <w:rPr>
                <w:sz w:val="18"/>
              </w:rPr>
            </w:pPr>
            <w:r>
              <w:rPr>
                <w:sz w:val="18"/>
                <w:lang w:val="es"/>
              </w:rPr>
              <w:t>11/21</w:t>
            </w:r>
          </w:p>
        </w:tc>
        <w:tc>
          <w:tcPr>
            <w:tcW w:w="847" w:type="dxa"/>
            <w:tcBorders>
              <w:top w:val="single" w:sz="4" w:space="0" w:color="000000"/>
              <w:left w:val="single" w:sz="4" w:space="0" w:color="000000"/>
              <w:bottom w:val="single" w:sz="4" w:space="0" w:color="000000"/>
              <w:right w:val="nil"/>
            </w:tcBorders>
            <w:vAlign w:val="center"/>
          </w:tcPr>
          <w:p w14:paraId="14B33D68" w14:textId="77777777" w:rsidR="00616D13" w:rsidRDefault="00616D13" w:rsidP="00616D13">
            <w:pPr>
              <w:snapToGrid w:val="0"/>
              <w:jc w:val="center"/>
              <w:rPr>
                <w:sz w:val="18"/>
              </w:rPr>
            </w:pPr>
            <w:r>
              <w:rPr>
                <w:sz w:val="18"/>
                <w:lang w:val="es"/>
              </w:rPr>
              <w:t>N</w:t>
            </w:r>
          </w:p>
        </w:tc>
        <w:tc>
          <w:tcPr>
            <w:tcW w:w="1127" w:type="dxa"/>
            <w:tcBorders>
              <w:top w:val="single" w:sz="4" w:space="0" w:color="000000"/>
              <w:left w:val="single" w:sz="4" w:space="0" w:color="000000"/>
              <w:bottom w:val="single" w:sz="4" w:space="0" w:color="000000"/>
              <w:right w:val="nil"/>
            </w:tcBorders>
            <w:vAlign w:val="center"/>
          </w:tcPr>
          <w:p w14:paraId="3B4785E4" w14:textId="77777777" w:rsidR="00616D13" w:rsidRDefault="00616D13" w:rsidP="00616D13">
            <w:pPr>
              <w:snapToGrid w:val="0"/>
              <w:jc w:val="center"/>
              <w:rPr>
                <w:sz w:val="18"/>
              </w:rPr>
            </w:pPr>
            <w:r>
              <w:rPr>
                <w:sz w:val="18"/>
                <w:lang w:val="es"/>
              </w:rPr>
              <w:t>0.66</w:t>
            </w:r>
          </w:p>
        </w:tc>
        <w:tc>
          <w:tcPr>
            <w:tcW w:w="684" w:type="dxa"/>
            <w:tcBorders>
              <w:top w:val="single" w:sz="4" w:space="0" w:color="000000"/>
              <w:left w:val="single" w:sz="4" w:space="0" w:color="000000"/>
              <w:bottom w:val="single" w:sz="4" w:space="0" w:color="000000"/>
              <w:right w:val="nil"/>
            </w:tcBorders>
            <w:vAlign w:val="center"/>
          </w:tcPr>
          <w:p w14:paraId="41E83DC4" w14:textId="77777777" w:rsidR="00616D13" w:rsidRDefault="00616D13" w:rsidP="00616D13">
            <w:pPr>
              <w:snapToGrid w:val="0"/>
              <w:jc w:val="center"/>
              <w:rPr>
                <w:sz w:val="18"/>
              </w:rPr>
            </w:pPr>
            <w:r>
              <w:rPr>
                <w:sz w:val="18"/>
                <w:lang w:val="es"/>
              </w:rPr>
              <w:t>N/A</w:t>
            </w:r>
          </w:p>
        </w:tc>
        <w:tc>
          <w:tcPr>
            <w:tcW w:w="2874" w:type="dxa"/>
            <w:tcBorders>
              <w:top w:val="single" w:sz="4" w:space="0" w:color="000000"/>
              <w:left w:val="single" w:sz="4" w:space="0" w:color="000000"/>
              <w:bottom w:val="single" w:sz="4" w:space="0" w:color="000000"/>
              <w:right w:val="nil"/>
            </w:tcBorders>
            <w:vAlign w:val="center"/>
          </w:tcPr>
          <w:p w14:paraId="05965C0D" w14:textId="77777777" w:rsidR="00616D13" w:rsidRDefault="00616D13" w:rsidP="00616D13">
            <w:pPr>
              <w:snapToGrid w:val="0"/>
              <w:jc w:val="center"/>
              <w:rPr>
                <w:sz w:val="18"/>
              </w:rPr>
            </w:pPr>
            <w:r>
              <w:rPr>
                <w:sz w:val="18"/>
                <w:lang w:val="es"/>
              </w:rPr>
              <w:t>100</w:t>
            </w:r>
          </w:p>
        </w:tc>
        <w:tc>
          <w:tcPr>
            <w:tcW w:w="523" w:type="dxa"/>
            <w:tcBorders>
              <w:top w:val="single" w:sz="4" w:space="0" w:color="000000"/>
              <w:left w:val="single" w:sz="4" w:space="0" w:color="000000"/>
              <w:bottom w:val="single" w:sz="4" w:space="0" w:color="000000"/>
              <w:right w:val="nil"/>
            </w:tcBorders>
            <w:vAlign w:val="center"/>
          </w:tcPr>
          <w:p w14:paraId="74561C03" w14:textId="77777777" w:rsidR="00616D13" w:rsidRDefault="00616D13" w:rsidP="00616D13">
            <w:pPr>
              <w:snapToGrid w:val="0"/>
              <w:jc w:val="center"/>
              <w:rPr>
                <w:sz w:val="18"/>
              </w:rPr>
            </w:pPr>
            <w:r>
              <w:rPr>
                <w:sz w:val="18"/>
                <w:lang w:val="es"/>
              </w:rPr>
              <w:t>100</w:t>
            </w:r>
          </w:p>
        </w:tc>
        <w:tc>
          <w:tcPr>
            <w:tcW w:w="1989" w:type="dxa"/>
            <w:tcBorders>
              <w:top w:val="single" w:sz="4" w:space="0" w:color="000000"/>
              <w:left w:val="single" w:sz="4" w:space="0" w:color="000000"/>
              <w:bottom w:val="single" w:sz="4" w:space="0" w:color="000000"/>
              <w:right w:val="single" w:sz="4" w:space="0" w:color="000000"/>
            </w:tcBorders>
            <w:vAlign w:val="center"/>
          </w:tcPr>
          <w:p w14:paraId="267D8F42" w14:textId="77777777" w:rsidR="00616D13" w:rsidRDefault="00616D13" w:rsidP="00616D13">
            <w:pPr>
              <w:snapToGrid w:val="0"/>
              <w:rPr>
                <w:sz w:val="18"/>
              </w:rPr>
            </w:pPr>
            <w:r w:rsidRPr="00EB73F9">
              <w:rPr>
                <w:sz w:val="18"/>
                <w:lang w:val="es"/>
              </w:rPr>
              <w:t>Descarga de acerías y plantas de celulosa; erosión de los depósitos naturales</w:t>
            </w:r>
          </w:p>
        </w:tc>
      </w:tr>
      <w:tr w:rsidR="00616D13" w14:paraId="6FE9F6E9" w14:textId="77777777" w:rsidTr="00616D13">
        <w:trPr>
          <w:gridAfter w:val="1"/>
          <w:wAfter w:w="260" w:type="dxa"/>
          <w:cantSplit/>
          <w:trHeight w:val="782"/>
        </w:trPr>
        <w:tc>
          <w:tcPr>
            <w:tcW w:w="1452" w:type="dxa"/>
            <w:tcBorders>
              <w:top w:val="single" w:sz="4" w:space="0" w:color="000000"/>
              <w:left w:val="single" w:sz="4" w:space="0" w:color="000000"/>
              <w:bottom w:val="single" w:sz="4" w:space="0" w:color="000000"/>
              <w:right w:val="nil"/>
            </w:tcBorders>
            <w:vAlign w:val="center"/>
          </w:tcPr>
          <w:p w14:paraId="6E2C5907" w14:textId="77777777" w:rsidR="00616D13" w:rsidRDefault="00616D13" w:rsidP="00616D13">
            <w:pPr>
              <w:tabs>
                <w:tab w:val="left" w:pos="1050"/>
              </w:tabs>
              <w:snapToGrid w:val="0"/>
              <w:ind w:left="350" w:hanging="350"/>
              <w:rPr>
                <w:sz w:val="18"/>
              </w:rPr>
            </w:pPr>
            <w:r>
              <w:rPr>
                <w:sz w:val="18"/>
                <w:lang w:val="es"/>
              </w:rPr>
              <w:t>Cianuro (ppb)</w:t>
            </w:r>
          </w:p>
        </w:tc>
        <w:tc>
          <w:tcPr>
            <w:tcW w:w="949" w:type="dxa"/>
            <w:tcBorders>
              <w:top w:val="single" w:sz="4" w:space="0" w:color="000000"/>
              <w:left w:val="single" w:sz="4" w:space="0" w:color="000000"/>
              <w:bottom w:val="single" w:sz="4" w:space="0" w:color="000000"/>
              <w:right w:val="nil"/>
            </w:tcBorders>
            <w:vAlign w:val="center"/>
          </w:tcPr>
          <w:p w14:paraId="36604E91" w14:textId="77777777" w:rsidR="00616D13" w:rsidRDefault="00616D13" w:rsidP="00616D13">
            <w:pPr>
              <w:snapToGrid w:val="0"/>
              <w:jc w:val="center"/>
              <w:rPr>
                <w:sz w:val="18"/>
              </w:rPr>
            </w:pPr>
            <w:r>
              <w:rPr>
                <w:sz w:val="18"/>
                <w:lang w:val="es"/>
              </w:rPr>
              <w:t>11/21</w:t>
            </w:r>
          </w:p>
        </w:tc>
        <w:tc>
          <w:tcPr>
            <w:tcW w:w="847" w:type="dxa"/>
            <w:tcBorders>
              <w:top w:val="single" w:sz="4" w:space="0" w:color="000000"/>
              <w:left w:val="single" w:sz="4" w:space="0" w:color="000000"/>
              <w:bottom w:val="single" w:sz="4" w:space="0" w:color="000000"/>
              <w:right w:val="nil"/>
            </w:tcBorders>
            <w:vAlign w:val="center"/>
          </w:tcPr>
          <w:p w14:paraId="27B2CF3E" w14:textId="77777777" w:rsidR="00616D13" w:rsidRDefault="00616D13" w:rsidP="00616D13">
            <w:pPr>
              <w:snapToGrid w:val="0"/>
              <w:jc w:val="center"/>
              <w:rPr>
                <w:sz w:val="18"/>
              </w:rPr>
            </w:pPr>
            <w:r>
              <w:rPr>
                <w:sz w:val="18"/>
                <w:lang w:val="es"/>
              </w:rPr>
              <w:t>N</w:t>
            </w:r>
          </w:p>
        </w:tc>
        <w:tc>
          <w:tcPr>
            <w:tcW w:w="1127" w:type="dxa"/>
            <w:tcBorders>
              <w:top w:val="single" w:sz="4" w:space="0" w:color="000000"/>
              <w:left w:val="single" w:sz="4" w:space="0" w:color="000000"/>
              <w:bottom w:val="single" w:sz="4" w:space="0" w:color="000000"/>
              <w:right w:val="nil"/>
            </w:tcBorders>
            <w:vAlign w:val="center"/>
          </w:tcPr>
          <w:p w14:paraId="11C54AB4" w14:textId="77777777" w:rsidR="00616D13" w:rsidRDefault="00616D13" w:rsidP="00616D13">
            <w:pPr>
              <w:snapToGrid w:val="0"/>
              <w:jc w:val="center"/>
              <w:rPr>
                <w:sz w:val="18"/>
              </w:rPr>
            </w:pPr>
            <w:r>
              <w:rPr>
                <w:sz w:val="18"/>
                <w:lang w:val="es"/>
              </w:rPr>
              <w:t>3.91</w:t>
            </w:r>
          </w:p>
        </w:tc>
        <w:tc>
          <w:tcPr>
            <w:tcW w:w="684" w:type="dxa"/>
            <w:tcBorders>
              <w:top w:val="single" w:sz="4" w:space="0" w:color="000000"/>
              <w:left w:val="single" w:sz="4" w:space="0" w:color="000000"/>
              <w:bottom w:val="single" w:sz="4" w:space="0" w:color="000000"/>
              <w:right w:val="nil"/>
            </w:tcBorders>
            <w:vAlign w:val="center"/>
          </w:tcPr>
          <w:p w14:paraId="58CF9250" w14:textId="77777777" w:rsidR="00616D13" w:rsidRDefault="00616D13" w:rsidP="00616D13">
            <w:pPr>
              <w:snapToGrid w:val="0"/>
              <w:jc w:val="center"/>
              <w:rPr>
                <w:sz w:val="18"/>
              </w:rPr>
            </w:pPr>
            <w:r>
              <w:rPr>
                <w:sz w:val="18"/>
                <w:lang w:val="es"/>
              </w:rPr>
              <w:t>N/A</w:t>
            </w:r>
          </w:p>
        </w:tc>
        <w:tc>
          <w:tcPr>
            <w:tcW w:w="2874" w:type="dxa"/>
            <w:tcBorders>
              <w:top w:val="single" w:sz="4" w:space="0" w:color="000000"/>
              <w:left w:val="single" w:sz="4" w:space="0" w:color="000000"/>
              <w:bottom w:val="single" w:sz="4" w:space="0" w:color="000000"/>
              <w:right w:val="nil"/>
            </w:tcBorders>
            <w:vAlign w:val="center"/>
          </w:tcPr>
          <w:p w14:paraId="2E2CE65F" w14:textId="77777777" w:rsidR="00616D13" w:rsidRDefault="00616D13" w:rsidP="00616D13">
            <w:pPr>
              <w:snapToGrid w:val="0"/>
              <w:jc w:val="center"/>
              <w:rPr>
                <w:sz w:val="18"/>
              </w:rPr>
            </w:pPr>
            <w:r>
              <w:rPr>
                <w:sz w:val="18"/>
                <w:lang w:val="es"/>
              </w:rPr>
              <w:t>200</w:t>
            </w:r>
          </w:p>
        </w:tc>
        <w:tc>
          <w:tcPr>
            <w:tcW w:w="523" w:type="dxa"/>
            <w:tcBorders>
              <w:top w:val="single" w:sz="4" w:space="0" w:color="000000"/>
              <w:left w:val="single" w:sz="4" w:space="0" w:color="000000"/>
              <w:bottom w:val="single" w:sz="4" w:space="0" w:color="000000"/>
              <w:right w:val="nil"/>
            </w:tcBorders>
            <w:vAlign w:val="center"/>
          </w:tcPr>
          <w:p w14:paraId="0B8EA627" w14:textId="77777777" w:rsidR="00616D13" w:rsidRDefault="00616D13" w:rsidP="00616D13">
            <w:pPr>
              <w:snapToGrid w:val="0"/>
              <w:jc w:val="center"/>
              <w:rPr>
                <w:sz w:val="18"/>
              </w:rPr>
            </w:pPr>
            <w:r>
              <w:rPr>
                <w:sz w:val="18"/>
                <w:lang w:val="es"/>
              </w:rPr>
              <w:t>200</w:t>
            </w:r>
          </w:p>
        </w:tc>
        <w:tc>
          <w:tcPr>
            <w:tcW w:w="1989" w:type="dxa"/>
            <w:tcBorders>
              <w:top w:val="single" w:sz="4" w:space="0" w:color="000000"/>
              <w:left w:val="single" w:sz="4" w:space="0" w:color="000000"/>
              <w:bottom w:val="single" w:sz="4" w:space="0" w:color="000000"/>
              <w:right w:val="single" w:sz="4" w:space="0" w:color="000000"/>
            </w:tcBorders>
            <w:vAlign w:val="center"/>
          </w:tcPr>
          <w:p w14:paraId="7A88DF43" w14:textId="77777777" w:rsidR="00616D13" w:rsidRPr="00EB73F9" w:rsidRDefault="00616D13" w:rsidP="00616D13">
            <w:pPr>
              <w:snapToGrid w:val="0"/>
              <w:rPr>
                <w:sz w:val="18"/>
              </w:rPr>
            </w:pPr>
            <w:r w:rsidRPr="00EB73F9">
              <w:rPr>
                <w:sz w:val="18"/>
                <w:lang w:val="es"/>
              </w:rPr>
              <w:t>Descarga de fábricas de acero/metal; descarga de fábricas de plásticos y fertilizantes</w:t>
            </w:r>
          </w:p>
        </w:tc>
      </w:tr>
      <w:tr w:rsidR="00616D13" w14:paraId="0CE094DA" w14:textId="77777777" w:rsidTr="00616D13">
        <w:trPr>
          <w:gridAfter w:val="1"/>
          <w:wAfter w:w="260" w:type="dxa"/>
          <w:cantSplit/>
          <w:trHeight w:val="890"/>
        </w:trPr>
        <w:tc>
          <w:tcPr>
            <w:tcW w:w="1452" w:type="dxa"/>
            <w:tcBorders>
              <w:top w:val="single" w:sz="4" w:space="0" w:color="000000"/>
              <w:left w:val="single" w:sz="4" w:space="0" w:color="000000"/>
              <w:bottom w:val="single" w:sz="4" w:space="0" w:color="000000"/>
              <w:right w:val="nil"/>
            </w:tcBorders>
            <w:vAlign w:val="center"/>
            <w:hideMark/>
          </w:tcPr>
          <w:p w14:paraId="7DB2464C" w14:textId="77777777" w:rsidR="00616D13" w:rsidRDefault="00616D13" w:rsidP="00616D13">
            <w:pPr>
              <w:tabs>
                <w:tab w:val="left" w:pos="1050"/>
              </w:tabs>
              <w:snapToGrid w:val="0"/>
              <w:ind w:left="350" w:hanging="350"/>
              <w:rPr>
                <w:sz w:val="18"/>
              </w:rPr>
            </w:pPr>
            <w:r>
              <w:rPr>
                <w:sz w:val="18"/>
                <w:lang w:val="es"/>
              </w:rPr>
              <w:t>Fluoruro (ppm)</w:t>
            </w:r>
          </w:p>
        </w:tc>
        <w:tc>
          <w:tcPr>
            <w:tcW w:w="949" w:type="dxa"/>
            <w:tcBorders>
              <w:top w:val="single" w:sz="4" w:space="0" w:color="000000"/>
              <w:left w:val="single" w:sz="4" w:space="0" w:color="000000"/>
              <w:bottom w:val="single" w:sz="4" w:space="0" w:color="000000"/>
              <w:right w:val="nil"/>
            </w:tcBorders>
            <w:vAlign w:val="center"/>
            <w:hideMark/>
          </w:tcPr>
          <w:p w14:paraId="3B3FC2FA" w14:textId="77777777" w:rsidR="00616D13" w:rsidRDefault="00616D13" w:rsidP="00616D13">
            <w:pPr>
              <w:snapToGrid w:val="0"/>
              <w:jc w:val="center"/>
              <w:rPr>
                <w:sz w:val="18"/>
              </w:rPr>
            </w:pPr>
            <w:r>
              <w:rPr>
                <w:sz w:val="18"/>
                <w:lang w:val="es"/>
              </w:rPr>
              <w:t>11/21</w:t>
            </w:r>
          </w:p>
        </w:tc>
        <w:tc>
          <w:tcPr>
            <w:tcW w:w="847" w:type="dxa"/>
            <w:tcBorders>
              <w:top w:val="single" w:sz="4" w:space="0" w:color="000000"/>
              <w:left w:val="single" w:sz="4" w:space="0" w:color="000000"/>
              <w:bottom w:val="single" w:sz="4" w:space="0" w:color="000000"/>
              <w:right w:val="nil"/>
            </w:tcBorders>
            <w:vAlign w:val="center"/>
            <w:hideMark/>
          </w:tcPr>
          <w:p w14:paraId="1827C3EB" w14:textId="77777777" w:rsidR="00616D13" w:rsidRDefault="00616D13" w:rsidP="00616D13">
            <w:pPr>
              <w:snapToGrid w:val="0"/>
              <w:jc w:val="center"/>
              <w:rPr>
                <w:sz w:val="18"/>
              </w:rPr>
            </w:pPr>
            <w:r>
              <w:rPr>
                <w:sz w:val="18"/>
                <w:lang w:val="es"/>
              </w:rPr>
              <w:t>N</w:t>
            </w:r>
          </w:p>
        </w:tc>
        <w:tc>
          <w:tcPr>
            <w:tcW w:w="1127" w:type="dxa"/>
            <w:tcBorders>
              <w:top w:val="single" w:sz="4" w:space="0" w:color="000000"/>
              <w:left w:val="single" w:sz="4" w:space="0" w:color="000000"/>
              <w:bottom w:val="single" w:sz="4" w:space="0" w:color="000000"/>
              <w:right w:val="nil"/>
            </w:tcBorders>
            <w:vAlign w:val="center"/>
            <w:hideMark/>
          </w:tcPr>
          <w:p w14:paraId="4893D2B5" w14:textId="77777777" w:rsidR="00616D13" w:rsidRDefault="00616D13" w:rsidP="00616D13">
            <w:pPr>
              <w:snapToGrid w:val="0"/>
              <w:jc w:val="center"/>
              <w:rPr>
                <w:sz w:val="18"/>
              </w:rPr>
            </w:pPr>
            <w:r>
              <w:rPr>
                <w:sz w:val="18"/>
                <w:lang w:val="es"/>
              </w:rPr>
              <w:t>0,186</w:t>
            </w:r>
          </w:p>
        </w:tc>
        <w:tc>
          <w:tcPr>
            <w:tcW w:w="684" w:type="dxa"/>
            <w:tcBorders>
              <w:top w:val="single" w:sz="4" w:space="0" w:color="000000"/>
              <w:left w:val="single" w:sz="4" w:space="0" w:color="000000"/>
              <w:bottom w:val="single" w:sz="4" w:space="0" w:color="000000"/>
              <w:right w:val="nil"/>
            </w:tcBorders>
            <w:vAlign w:val="center"/>
            <w:hideMark/>
          </w:tcPr>
          <w:p w14:paraId="6A073667" w14:textId="77777777" w:rsidR="00616D13" w:rsidRDefault="00616D13" w:rsidP="00616D13">
            <w:pPr>
              <w:snapToGrid w:val="0"/>
              <w:jc w:val="center"/>
              <w:rPr>
                <w:sz w:val="18"/>
              </w:rPr>
            </w:pPr>
            <w:r>
              <w:rPr>
                <w:sz w:val="18"/>
                <w:lang w:val="es"/>
              </w:rPr>
              <w:t>N/A</w:t>
            </w:r>
          </w:p>
        </w:tc>
        <w:tc>
          <w:tcPr>
            <w:tcW w:w="2874" w:type="dxa"/>
            <w:tcBorders>
              <w:top w:val="single" w:sz="4" w:space="0" w:color="000000"/>
              <w:left w:val="single" w:sz="4" w:space="0" w:color="000000"/>
              <w:bottom w:val="single" w:sz="4" w:space="0" w:color="000000"/>
              <w:right w:val="nil"/>
            </w:tcBorders>
            <w:vAlign w:val="center"/>
            <w:hideMark/>
          </w:tcPr>
          <w:p w14:paraId="31BF06A7" w14:textId="77777777" w:rsidR="00616D13" w:rsidRDefault="00616D13" w:rsidP="00616D13">
            <w:pPr>
              <w:snapToGrid w:val="0"/>
              <w:jc w:val="center"/>
              <w:rPr>
                <w:sz w:val="18"/>
              </w:rPr>
            </w:pPr>
            <w:r>
              <w:rPr>
                <w:sz w:val="18"/>
                <w:lang w:val="es"/>
              </w:rPr>
              <w:t>4.0</w:t>
            </w:r>
          </w:p>
        </w:tc>
        <w:tc>
          <w:tcPr>
            <w:tcW w:w="523" w:type="dxa"/>
            <w:tcBorders>
              <w:top w:val="single" w:sz="4" w:space="0" w:color="000000"/>
              <w:left w:val="single" w:sz="4" w:space="0" w:color="000000"/>
              <w:bottom w:val="single" w:sz="4" w:space="0" w:color="000000"/>
              <w:right w:val="nil"/>
            </w:tcBorders>
            <w:vAlign w:val="center"/>
            <w:hideMark/>
          </w:tcPr>
          <w:p w14:paraId="086F0A77" w14:textId="77777777" w:rsidR="00616D13" w:rsidRDefault="00616D13" w:rsidP="00616D13">
            <w:pPr>
              <w:snapToGrid w:val="0"/>
              <w:jc w:val="center"/>
              <w:rPr>
                <w:sz w:val="18"/>
              </w:rPr>
            </w:pPr>
            <w:r>
              <w:rPr>
                <w:sz w:val="18"/>
                <w:lang w:val="es"/>
              </w:rPr>
              <w:t>4.0</w:t>
            </w:r>
          </w:p>
        </w:tc>
        <w:tc>
          <w:tcPr>
            <w:tcW w:w="1989" w:type="dxa"/>
            <w:tcBorders>
              <w:top w:val="single" w:sz="4" w:space="0" w:color="000000"/>
              <w:left w:val="single" w:sz="4" w:space="0" w:color="000000"/>
              <w:bottom w:val="single" w:sz="4" w:space="0" w:color="000000"/>
              <w:right w:val="single" w:sz="4" w:space="0" w:color="000000"/>
            </w:tcBorders>
            <w:vAlign w:val="center"/>
            <w:hideMark/>
          </w:tcPr>
          <w:p w14:paraId="26F129E2" w14:textId="77777777" w:rsidR="00616D13" w:rsidRDefault="00616D13" w:rsidP="00616D13">
            <w:pPr>
              <w:snapToGrid w:val="0"/>
              <w:rPr>
                <w:sz w:val="18"/>
              </w:rPr>
            </w:pPr>
            <w:r>
              <w:rPr>
                <w:sz w:val="18"/>
                <w:lang w:val="es"/>
              </w:rPr>
              <w:t>Erosión de depósitos naturales, descarga de fábricas de fertilizantes y aluminio. Aditivo de agua que promueve dientes fuertes cuando están en un nivel óptimo de 0.7 ppm</w:t>
            </w:r>
          </w:p>
        </w:tc>
      </w:tr>
      <w:tr w:rsidR="00616D13" w14:paraId="505ACB02" w14:textId="77777777" w:rsidTr="00616D13">
        <w:trPr>
          <w:gridAfter w:val="1"/>
          <w:wAfter w:w="260" w:type="dxa"/>
          <w:cantSplit/>
          <w:trHeight w:val="1142"/>
        </w:trPr>
        <w:tc>
          <w:tcPr>
            <w:tcW w:w="1452" w:type="dxa"/>
            <w:tcBorders>
              <w:top w:val="single" w:sz="4" w:space="0" w:color="000000"/>
              <w:left w:val="single" w:sz="4" w:space="0" w:color="000000"/>
              <w:bottom w:val="single" w:sz="4" w:space="0" w:color="000000"/>
              <w:right w:val="nil"/>
            </w:tcBorders>
            <w:vAlign w:val="center"/>
          </w:tcPr>
          <w:p w14:paraId="1EBB2931" w14:textId="77777777" w:rsidR="00616D13" w:rsidRDefault="00616D13" w:rsidP="00616D13">
            <w:pPr>
              <w:tabs>
                <w:tab w:val="left" w:pos="1050"/>
              </w:tabs>
              <w:snapToGrid w:val="0"/>
              <w:ind w:left="350" w:hanging="350"/>
              <w:rPr>
                <w:sz w:val="18"/>
              </w:rPr>
            </w:pPr>
            <w:r w:rsidRPr="00EB73F9">
              <w:rPr>
                <w:sz w:val="18"/>
                <w:lang w:val="es"/>
              </w:rPr>
              <w:t>Nitrato (como nitrógeno) (ppm)</w:t>
            </w:r>
          </w:p>
        </w:tc>
        <w:tc>
          <w:tcPr>
            <w:tcW w:w="949" w:type="dxa"/>
            <w:tcBorders>
              <w:top w:val="single" w:sz="4" w:space="0" w:color="000000"/>
              <w:left w:val="single" w:sz="4" w:space="0" w:color="000000"/>
              <w:bottom w:val="single" w:sz="4" w:space="0" w:color="000000"/>
              <w:right w:val="nil"/>
            </w:tcBorders>
            <w:vAlign w:val="center"/>
          </w:tcPr>
          <w:p w14:paraId="0D2806E9" w14:textId="77777777" w:rsidR="00616D13" w:rsidRDefault="00616D13" w:rsidP="00616D13">
            <w:pPr>
              <w:snapToGrid w:val="0"/>
              <w:jc w:val="center"/>
              <w:rPr>
                <w:sz w:val="18"/>
              </w:rPr>
            </w:pPr>
            <w:r>
              <w:rPr>
                <w:sz w:val="18"/>
                <w:lang w:val="es"/>
              </w:rPr>
              <w:t>21/11</w:t>
            </w:r>
          </w:p>
        </w:tc>
        <w:tc>
          <w:tcPr>
            <w:tcW w:w="847" w:type="dxa"/>
            <w:tcBorders>
              <w:top w:val="single" w:sz="4" w:space="0" w:color="000000"/>
              <w:left w:val="single" w:sz="4" w:space="0" w:color="000000"/>
              <w:bottom w:val="single" w:sz="4" w:space="0" w:color="000000"/>
              <w:right w:val="nil"/>
            </w:tcBorders>
            <w:vAlign w:val="center"/>
          </w:tcPr>
          <w:p w14:paraId="539DBE68" w14:textId="77777777" w:rsidR="00616D13" w:rsidRDefault="00616D13" w:rsidP="00616D13">
            <w:pPr>
              <w:snapToGrid w:val="0"/>
              <w:jc w:val="center"/>
              <w:rPr>
                <w:sz w:val="18"/>
              </w:rPr>
            </w:pPr>
            <w:r>
              <w:rPr>
                <w:sz w:val="18"/>
                <w:lang w:val="es"/>
              </w:rPr>
              <w:t>N</w:t>
            </w:r>
          </w:p>
        </w:tc>
        <w:tc>
          <w:tcPr>
            <w:tcW w:w="1127" w:type="dxa"/>
            <w:tcBorders>
              <w:top w:val="single" w:sz="4" w:space="0" w:color="000000"/>
              <w:left w:val="single" w:sz="4" w:space="0" w:color="000000"/>
              <w:bottom w:val="single" w:sz="4" w:space="0" w:color="000000"/>
              <w:right w:val="nil"/>
            </w:tcBorders>
            <w:vAlign w:val="center"/>
          </w:tcPr>
          <w:p w14:paraId="659E8A99" w14:textId="77777777" w:rsidR="00616D13" w:rsidRDefault="00616D13" w:rsidP="00616D13">
            <w:pPr>
              <w:snapToGrid w:val="0"/>
              <w:jc w:val="center"/>
              <w:rPr>
                <w:sz w:val="18"/>
              </w:rPr>
            </w:pPr>
            <w:r>
              <w:rPr>
                <w:sz w:val="18"/>
                <w:lang w:val="es"/>
              </w:rPr>
              <w:t>0.0420</w:t>
            </w:r>
          </w:p>
        </w:tc>
        <w:tc>
          <w:tcPr>
            <w:tcW w:w="684" w:type="dxa"/>
            <w:tcBorders>
              <w:top w:val="single" w:sz="4" w:space="0" w:color="000000"/>
              <w:left w:val="single" w:sz="4" w:space="0" w:color="000000"/>
              <w:bottom w:val="single" w:sz="4" w:space="0" w:color="000000"/>
              <w:right w:val="nil"/>
            </w:tcBorders>
            <w:vAlign w:val="center"/>
          </w:tcPr>
          <w:p w14:paraId="0E38023A" w14:textId="77777777" w:rsidR="00616D13" w:rsidRDefault="00616D13" w:rsidP="00616D13">
            <w:pPr>
              <w:snapToGrid w:val="0"/>
              <w:jc w:val="center"/>
              <w:rPr>
                <w:sz w:val="18"/>
              </w:rPr>
            </w:pPr>
            <w:r>
              <w:rPr>
                <w:sz w:val="18"/>
                <w:lang w:val="es"/>
              </w:rPr>
              <w:t>N/A</w:t>
            </w:r>
          </w:p>
        </w:tc>
        <w:tc>
          <w:tcPr>
            <w:tcW w:w="2874" w:type="dxa"/>
            <w:tcBorders>
              <w:top w:val="single" w:sz="4" w:space="0" w:color="000000"/>
              <w:left w:val="single" w:sz="4" w:space="0" w:color="000000"/>
              <w:bottom w:val="single" w:sz="4" w:space="0" w:color="000000"/>
              <w:right w:val="nil"/>
            </w:tcBorders>
            <w:vAlign w:val="center"/>
          </w:tcPr>
          <w:p w14:paraId="15BA1B1A" w14:textId="77777777" w:rsidR="00616D13" w:rsidRDefault="00616D13" w:rsidP="00616D13">
            <w:pPr>
              <w:snapToGrid w:val="0"/>
              <w:jc w:val="center"/>
              <w:rPr>
                <w:sz w:val="18"/>
              </w:rPr>
            </w:pPr>
            <w:r>
              <w:rPr>
                <w:sz w:val="18"/>
                <w:lang w:val="es"/>
              </w:rPr>
              <w:t>10</w:t>
            </w:r>
          </w:p>
        </w:tc>
        <w:tc>
          <w:tcPr>
            <w:tcW w:w="523" w:type="dxa"/>
            <w:tcBorders>
              <w:top w:val="single" w:sz="4" w:space="0" w:color="000000"/>
              <w:left w:val="single" w:sz="4" w:space="0" w:color="000000"/>
              <w:bottom w:val="single" w:sz="4" w:space="0" w:color="000000"/>
              <w:right w:val="nil"/>
            </w:tcBorders>
            <w:vAlign w:val="center"/>
          </w:tcPr>
          <w:p w14:paraId="1FAE787C" w14:textId="77777777" w:rsidR="00616D13" w:rsidRDefault="00616D13" w:rsidP="00616D13">
            <w:pPr>
              <w:snapToGrid w:val="0"/>
              <w:jc w:val="center"/>
              <w:rPr>
                <w:sz w:val="18"/>
              </w:rPr>
            </w:pPr>
            <w:r>
              <w:rPr>
                <w:sz w:val="18"/>
                <w:lang w:val="es"/>
              </w:rPr>
              <w:t>10</w:t>
            </w:r>
          </w:p>
        </w:tc>
        <w:tc>
          <w:tcPr>
            <w:tcW w:w="1989" w:type="dxa"/>
            <w:tcBorders>
              <w:top w:val="single" w:sz="4" w:space="0" w:color="000000"/>
              <w:left w:val="single" w:sz="4" w:space="0" w:color="000000"/>
              <w:bottom w:val="single" w:sz="4" w:space="0" w:color="000000"/>
              <w:right w:val="single" w:sz="4" w:space="0" w:color="000000"/>
            </w:tcBorders>
            <w:vAlign w:val="center"/>
          </w:tcPr>
          <w:p w14:paraId="0350DDD4" w14:textId="77777777" w:rsidR="00616D13" w:rsidRPr="00E87E2D" w:rsidRDefault="00616D13" w:rsidP="00616D13">
            <w:pPr>
              <w:snapToGrid w:val="0"/>
              <w:rPr>
                <w:sz w:val="18"/>
                <w:szCs w:val="18"/>
              </w:rPr>
            </w:pPr>
            <w:r w:rsidRPr="00EB73F9">
              <w:rPr>
                <w:sz w:val="18"/>
                <w:lang w:val="es"/>
              </w:rPr>
              <w:t>Escorrentía por el uso de fertilizantes; lixiviación de fosas sépticas, aguas residuales; erosión de los depósitos naturales</w:t>
            </w:r>
          </w:p>
        </w:tc>
      </w:tr>
      <w:tr w:rsidR="00616D13" w14:paraId="28DEF4DC" w14:textId="77777777" w:rsidTr="00616D13">
        <w:trPr>
          <w:gridAfter w:val="1"/>
          <w:wAfter w:w="260" w:type="dxa"/>
          <w:cantSplit/>
          <w:trHeight w:val="1142"/>
        </w:trPr>
        <w:tc>
          <w:tcPr>
            <w:tcW w:w="1452" w:type="dxa"/>
            <w:tcBorders>
              <w:top w:val="single" w:sz="4" w:space="0" w:color="000000"/>
              <w:left w:val="single" w:sz="4" w:space="0" w:color="000000"/>
              <w:bottom w:val="single" w:sz="4" w:space="0" w:color="000000"/>
              <w:right w:val="nil"/>
            </w:tcBorders>
            <w:vAlign w:val="center"/>
          </w:tcPr>
          <w:p w14:paraId="462AE006" w14:textId="77777777" w:rsidR="00616D13" w:rsidRDefault="00616D13" w:rsidP="00616D13">
            <w:pPr>
              <w:tabs>
                <w:tab w:val="left" w:pos="1050"/>
              </w:tabs>
              <w:snapToGrid w:val="0"/>
              <w:ind w:left="350" w:hanging="350"/>
              <w:rPr>
                <w:sz w:val="18"/>
              </w:rPr>
            </w:pPr>
            <w:r>
              <w:rPr>
                <w:sz w:val="18"/>
                <w:lang w:val="es"/>
              </w:rPr>
              <w:t>Sodio (ppm)</w:t>
            </w:r>
          </w:p>
        </w:tc>
        <w:tc>
          <w:tcPr>
            <w:tcW w:w="949" w:type="dxa"/>
            <w:tcBorders>
              <w:top w:val="single" w:sz="4" w:space="0" w:color="000000"/>
              <w:left w:val="single" w:sz="4" w:space="0" w:color="000000"/>
              <w:bottom w:val="single" w:sz="4" w:space="0" w:color="000000"/>
              <w:right w:val="nil"/>
            </w:tcBorders>
            <w:vAlign w:val="center"/>
          </w:tcPr>
          <w:p w14:paraId="75E11DEB" w14:textId="77777777" w:rsidR="00616D13" w:rsidRDefault="00616D13" w:rsidP="00616D13">
            <w:pPr>
              <w:snapToGrid w:val="0"/>
              <w:jc w:val="center"/>
              <w:rPr>
                <w:sz w:val="18"/>
              </w:rPr>
            </w:pPr>
            <w:r>
              <w:rPr>
                <w:sz w:val="18"/>
                <w:lang w:val="es"/>
              </w:rPr>
              <w:t>21/11</w:t>
            </w:r>
          </w:p>
        </w:tc>
        <w:tc>
          <w:tcPr>
            <w:tcW w:w="847" w:type="dxa"/>
            <w:tcBorders>
              <w:top w:val="single" w:sz="4" w:space="0" w:color="000000"/>
              <w:left w:val="single" w:sz="4" w:space="0" w:color="000000"/>
              <w:bottom w:val="single" w:sz="4" w:space="0" w:color="000000"/>
              <w:right w:val="nil"/>
            </w:tcBorders>
            <w:vAlign w:val="center"/>
          </w:tcPr>
          <w:p w14:paraId="5845B51C" w14:textId="77777777" w:rsidR="00616D13" w:rsidRDefault="00616D13" w:rsidP="00616D13">
            <w:pPr>
              <w:snapToGrid w:val="0"/>
              <w:jc w:val="center"/>
              <w:rPr>
                <w:sz w:val="18"/>
              </w:rPr>
            </w:pPr>
            <w:r>
              <w:rPr>
                <w:sz w:val="18"/>
                <w:lang w:val="es"/>
              </w:rPr>
              <w:t>N</w:t>
            </w:r>
          </w:p>
        </w:tc>
        <w:tc>
          <w:tcPr>
            <w:tcW w:w="1127" w:type="dxa"/>
            <w:tcBorders>
              <w:top w:val="single" w:sz="4" w:space="0" w:color="000000"/>
              <w:left w:val="single" w:sz="4" w:space="0" w:color="000000"/>
              <w:bottom w:val="single" w:sz="4" w:space="0" w:color="000000"/>
              <w:right w:val="nil"/>
            </w:tcBorders>
            <w:vAlign w:val="center"/>
          </w:tcPr>
          <w:p w14:paraId="0541CD04" w14:textId="77777777" w:rsidR="00616D13" w:rsidRDefault="00616D13" w:rsidP="00616D13">
            <w:pPr>
              <w:snapToGrid w:val="0"/>
              <w:jc w:val="center"/>
              <w:rPr>
                <w:sz w:val="18"/>
              </w:rPr>
            </w:pPr>
            <w:r>
              <w:rPr>
                <w:sz w:val="18"/>
                <w:lang w:val="es"/>
              </w:rPr>
              <w:t>12.5</w:t>
            </w:r>
          </w:p>
        </w:tc>
        <w:tc>
          <w:tcPr>
            <w:tcW w:w="684" w:type="dxa"/>
            <w:tcBorders>
              <w:top w:val="single" w:sz="4" w:space="0" w:color="000000"/>
              <w:left w:val="single" w:sz="4" w:space="0" w:color="000000"/>
              <w:bottom w:val="single" w:sz="4" w:space="0" w:color="000000"/>
              <w:right w:val="nil"/>
            </w:tcBorders>
            <w:vAlign w:val="center"/>
          </w:tcPr>
          <w:p w14:paraId="4862BDC3" w14:textId="77777777" w:rsidR="00616D13" w:rsidRDefault="00616D13" w:rsidP="00616D13">
            <w:pPr>
              <w:snapToGrid w:val="0"/>
              <w:jc w:val="center"/>
              <w:rPr>
                <w:sz w:val="18"/>
              </w:rPr>
            </w:pPr>
            <w:r>
              <w:rPr>
                <w:sz w:val="18"/>
                <w:lang w:val="es"/>
              </w:rPr>
              <w:t>N/A</w:t>
            </w:r>
          </w:p>
        </w:tc>
        <w:tc>
          <w:tcPr>
            <w:tcW w:w="2874" w:type="dxa"/>
            <w:tcBorders>
              <w:top w:val="single" w:sz="4" w:space="0" w:color="000000"/>
              <w:left w:val="single" w:sz="4" w:space="0" w:color="000000"/>
              <w:bottom w:val="single" w:sz="4" w:space="0" w:color="000000"/>
              <w:right w:val="nil"/>
            </w:tcBorders>
            <w:vAlign w:val="center"/>
          </w:tcPr>
          <w:p w14:paraId="0F16BB3C" w14:textId="77777777" w:rsidR="00616D13" w:rsidRDefault="00616D13" w:rsidP="00616D13">
            <w:pPr>
              <w:snapToGrid w:val="0"/>
              <w:jc w:val="center"/>
              <w:rPr>
                <w:sz w:val="18"/>
              </w:rPr>
            </w:pPr>
            <w:r>
              <w:rPr>
                <w:sz w:val="18"/>
                <w:lang w:val="es"/>
              </w:rPr>
              <w:t>N/A</w:t>
            </w:r>
          </w:p>
        </w:tc>
        <w:tc>
          <w:tcPr>
            <w:tcW w:w="523" w:type="dxa"/>
            <w:tcBorders>
              <w:top w:val="single" w:sz="4" w:space="0" w:color="000000"/>
              <w:left w:val="single" w:sz="4" w:space="0" w:color="000000"/>
              <w:bottom w:val="single" w:sz="4" w:space="0" w:color="000000"/>
              <w:right w:val="nil"/>
            </w:tcBorders>
            <w:vAlign w:val="center"/>
          </w:tcPr>
          <w:p w14:paraId="761994A8" w14:textId="77777777" w:rsidR="00616D13" w:rsidRDefault="00616D13" w:rsidP="00616D13">
            <w:pPr>
              <w:snapToGrid w:val="0"/>
              <w:jc w:val="center"/>
              <w:rPr>
                <w:sz w:val="18"/>
              </w:rPr>
            </w:pPr>
            <w:r>
              <w:rPr>
                <w:sz w:val="18"/>
                <w:lang w:val="es"/>
              </w:rPr>
              <w:t>160</w:t>
            </w:r>
          </w:p>
        </w:tc>
        <w:tc>
          <w:tcPr>
            <w:tcW w:w="1989" w:type="dxa"/>
            <w:tcBorders>
              <w:top w:val="single" w:sz="4" w:space="0" w:color="000000"/>
              <w:left w:val="single" w:sz="4" w:space="0" w:color="000000"/>
              <w:bottom w:val="single" w:sz="4" w:space="0" w:color="000000"/>
              <w:right w:val="single" w:sz="4" w:space="0" w:color="000000"/>
            </w:tcBorders>
            <w:vAlign w:val="center"/>
          </w:tcPr>
          <w:p w14:paraId="4E68E326" w14:textId="77777777" w:rsidR="00616D13" w:rsidRPr="00E87E2D" w:rsidRDefault="00616D13" w:rsidP="00616D13">
            <w:pPr>
              <w:snapToGrid w:val="0"/>
              <w:rPr>
                <w:color w:val="000000"/>
                <w:sz w:val="18"/>
                <w:szCs w:val="18"/>
              </w:rPr>
            </w:pPr>
            <w:r>
              <w:rPr>
                <w:sz w:val="18"/>
                <w:lang w:val="es"/>
              </w:rPr>
              <w:t>Intrusión de agua salada, lixiviación del suelo</w:t>
            </w:r>
          </w:p>
        </w:tc>
      </w:tr>
    </w:tbl>
    <w:p w14:paraId="37DE524B" w14:textId="77777777" w:rsidR="00DE1CA0" w:rsidRDefault="00DE1CA0" w:rsidP="00DE1CA0">
      <w:pPr>
        <w:suppressAutoHyphens w:val="0"/>
      </w:pPr>
    </w:p>
    <w:p w14:paraId="2D1DB07A" w14:textId="565A660B" w:rsidR="00570238" w:rsidRDefault="00570238" w:rsidP="00DE1CA0">
      <w:pPr>
        <w:suppressAutoHyphens w:val="0"/>
        <w:sectPr w:rsidR="00570238">
          <w:pgSz w:w="12240" w:h="15840"/>
          <w:pgMar w:top="810" w:right="1080" w:bottom="810" w:left="1080" w:header="720" w:footer="720" w:gutter="0"/>
          <w:pgNumType w:start="1"/>
          <w:cols w:space="720"/>
        </w:sectPr>
      </w:pPr>
    </w:p>
    <w:p w14:paraId="4AE55F09" w14:textId="77777777" w:rsidR="00DE1CA0" w:rsidRDefault="00DE1CA0" w:rsidP="00DE1CA0">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sz w:val="32"/>
          <w:u w:val="single"/>
        </w:rPr>
      </w:pPr>
      <w:bookmarkStart w:id="0" w:name="OLE_LINK4"/>
      <w:bookmarkStart w:id="1" w:name="OLE_LINK3"/>
      <w:bookmarkEnd w:id="0"/>
      <w:bookmarkEnd w:id="1"/>
    </w:p>
    <w:tbl>
      <w:tblPr>
        <w:tblpPr w:leftFromText="180" w:rightFromText="180" w:vertAnchor="page" w:horzAnchor="margin" w:tblpX="-275" w:tblpY="7891"/>
        <w:tblW w:w="10435" w:type="dxa"/>
        <w:tblLayout w:type="fixed"/>
        <w:tblCellMar>
          <w:left w:w="100" w:type="dxa"/>
          <w:right w:w="100" w:type="dxa"/>
        </w:tblCellMar>
        <w:tblLook w:val="04A0" w:firstRow="1" w:lastRow="0" w:firstColumn="1" w:lastColumn="0" w:noHBand="0" w:noVBand="1"/>
      </w:tblPr>
      <w:tblGrid>
        <w:gridCol w:w="2391"/>
        <w:gridCol w:w="990"/>
        <w:gridCol w:w="990"/>
        <w:gridCol w:w="900"/>
        <w:gridCol w:w="1034"/>
        <w:gridCol w:w="1170"/>
        <w:gridCol w:w="1080"/>
        <w:gridCol w:w="1880"/>
      </w:tblGrid>
      <w:tr w:rsidR="00AD7DB6" w14:paraId="12008A17" w14:textId="77777777" w:rsidTr="00AD7DB6">
        <w:trPr>
          <w:cantSplit/>
          <w:trHeight w:val="403"/>
        </w:trPr>
        <w:tc>
          <w:tcPr>
            <w:tcW w:w="10435" w:type="dxa"/>
            <w:gridSpan w:val="8"/>
            <w:tcBorders>
              <w:top w:val="single" w:sz="4" w:space="0" w:color="000000"/>
              <w:left w:val="single" w:sz="4" w:space="0" w:color="000000"/>
              <w:bottom w:val="single" w:sz="4" w:space="0" w:color="000000"/>
              <w:right w:val="single" w:sz="4" w:space="0" w:color="000000"/>
            </w:tcBorders>
            <w:vAlign w:val="center"/>
            <w:hideMark/>
          </w:tcPr>
          <w:p w14:paraId="674D0D35" w14:textId="77777777" w:rsidR="00AD7DB6" w:rsidRDefault="00AD7DB6" w:rsidP="00AD7DB6">
            <w:pPr>
              <w:snapToGrid w:val="0"/>
              <w:rPr>
                <w:b/>
                <w:bCs/>
                <w:sz w:val="28"/>
                <w:szCs w:val="28"/>
              </w:rPr>
            </w:pPr>
            <w:r>
              <w:rPr>
                <w:b/>
                <w:bCs/>
                <w:sz w:val="28"/>
                <w:szCs w:val="28"/>
                <w:lang w:val="es"/>
              </w:rPr>
              <w:t>Etapa 2 Desinfectantes y subproductos de desinfección</w:t>
            </w:r>
          </w:p>
        </w:tc>
      </w:tr>
      <w:tr w:rsidR="00AD7DB6" w14:paraId="1284FA6E" w14:textId="77777777" w:rsidTr="00AD7DB6">
        <w:trPr>
          <w:cantSplit/>
          <w:trHeight w:val="1193"/>
        </w:trPr>
        <w:tc>
          <w:tcPr>
            <w:tcW w:w="2391" w:type="dxa"/>
            <w:tcBorders>
              <w:top w:val="single" w:sz="4" w:space="0" w:color="000000"/>
              <w:left w:val="single" w:sz="4" w:space="0" w:color="000000"/>
              <w:bottom w:val="single" w:sz="4" w:space="0" w:color="000000"/>
              <w:right w:val="nil"/>
            </w:tcBorders>
            <w:vAlign w:val="center"/>
            <w:hideMark/>
          </w:tcPr>
          <w:p w14:paraId="39BE540C" w14:textId="77777777" w:rsidR="00AD7DB6" w:rsidRDefault="00AD7DB6" w:rsidP="00AD7DB6">
            <w:pPr>
              <w:snapToGrid w:val="0"/>
              <w:rPr>
                <w:b/>
                <w:sz w:val="18"/>
              </w:rPr>
            </w:pPr>
            <w:r>
              <w:rPr>
                <w:b/>
                <w:sz w:val="18"/>
                <w:lang w:val="es"/>
              </w:rPr>
              <w:t>Contaminante y unidad de medida</w:t>
            </w:r>
          </w:p>
        </w:tc>
        <w:tc>
          <w:tcPr>
            <w:tcW w:w="990" w:type="dxa"/>
            <w:tcBorders>
              <w:top w:val="single" w:sz="4" w:space="0" w:color="000000"/>
              <w:left w:val="single" w:sz="4" w:space="0" w:color="000000"/>
              <w:bottom w:val="single" w:sz="4" w:space="0" w:color="000000"/>
              <w:right w:val="nil"/>
            </w:tcBorders>
            <w:vAlign w:val="center"/>
            <w:hideMark/>
          </w:tcPr>
          <w:p w14:paraId="55AB12F8" w14:textId="77777777" w:rsidR="00AD7DB6" w:rsidRDefault="00AD7DB6" w:rsidP="00AD7DB6">
            <w:pPr>
              <w:snapToGrid w:val="0"/>
              <w:jc w:val="center"/>
              <w:rPr>
                <w:b/>
                <w:sz w:val="18"/>
              </w:rPr>
            </w:pPr>
            <w:r>
              <w:rPr>
                <w:b/>
                <w:sz w:val="18"/>
                <w:lang w:val="es"/>
              </w:rPr>
              <w:t>Fechas de muestreo (mo./año)</w:t>
            </w:r>
          </w:p>
        </w:tc>
        <w:tc>
          <w:tcPr>
            <w:tcW w:w="990" w:type="dxa"/>
            <w:tcBorders>
              <w:top w:val="single" w:sz="4" w:space="0" w:color="000000"/>
              <w:left w:val="single" w:sz="4" w:space="0" w:color="000000"/>
              <w:bottom w:val="single" w:sz="4" w:space="0" w:color="000000"/>
              <w:right w:val="nil"/>
            </w:tcBorders>
            <w:vAlign w:val="center"/>
            <w:hideMark/>
          </w:tcPr>
          <w:p w14:paraId="1F03A04B" w14:textId="77777777" w:rsidR="00AD7DB6" w:rsidRDefault="00AD7DB6" w:rsidP="00AD7DB6">
            <w:pPr>
              <w:snapToGrid w:val="0"/>
              <w:jc w:val="center"/>
              <w:rPr>
                <w:b/>
                <w:sz w:val="18"/>
              </w:rPr>
            </w:pPr>
            <w:r>
              <w:rPr>
                <w:b/>
                <w:sz w:val="18"/>
                <w:lang w:val="es"/>
              </w:rPr>
              <w:t>Violación de MCL Y/N</w:t>
            </w:r>
          </w:p>
        </w:tc>
        <w:tc>
          <w:tcPr>
            <w:tcW w:w="900" w:type="dxa"/>
            <w:tcBorders>
              <w:top w:val="single" w:sz="4" w:space="0" w:color="000000"/>
              <w:left w:val="single" w:sz="4" w:space="0" w:color="000000"/>
              <w:bottom w:val="single" w:sz="4" w:space="0" w:color="000000"/>
              <w:right w:val="nil"/>
            </w:tcBorders>
            <w:vAlign w:val="center"/>
            <w:hideMark/>
          </w:tcPr>
          <w:p w14:paraId="69291BCF" w14:textId="77777777" w:rsidR="00AD7DB6" w:rsidRDefault="00AD7DB6" w:rsidP="00AD7DB6">
            <w:pPr>
              <w:snapToGrid w:val="0"/>
              <w:jc w:val="center"/>
              <w:rPr>
                <w:b/>
                <w:sz w:val="18"/>
              </w:rPr>
            </w:pPr>
            <w:r>
              <w:rPr>
                <w:b/>
                <w:sz w:val="18"/>
                <w:lang w:val="es"/>
              </w:rPr>
              <w:t>Nivel detectado</w:t>
            </w:r>
          </w:p>
        </w:tc>
        <w:tc>
          <w:tcPr>
            <w:tcW w:w="1034" w:type="dxa"/>
            <w:tcBorders>
              <w:top w:val="single" w:sz="4" w:space="0" w:color="000000"/>
              <w:left w:val="single" w:sz="4" w:space="0" w:color="000000"/>
              <w:bottom w:val="single" w:sz="4" w:space="0" w:color="000000"/>
              <w:right w:val="nil"/>
            </w:tcBorders>
            <w:vAlign w:val="center"/>
            <w:hideMark/>
          </w:tcPr>
          <w:p w14:paraId="691CC7BD" w14:textId="77777777" w:rsidR="00AD7DB6" w:rsidRDefault="00AD7DB6" w:rsidP="00AD7DB6">
            <w:pPr>
              <w:snapToGrid w:val="0"/>
              <w:jc w:val="center"/>
              <w:rPr>
                <w:b/>
                <w:sz w:val="18"/>
              </w:rPr>
            </w:pPr>
            <w:r>
              <w:rPr>
                <w:b/>
                <w:sz w:val="18"/>
                <w:lang w:val="es"/>
              </w:rPr>
              <w:t>Rango de resultados</w:t>
            </w:r>
          </w:p>
        </w:tc>
        <w:tc>
          <w:tcPr>
            <w:tcW w:w="1170" w:type="dxa"/>
            <w:tcBorders>
              <w:top w:val="single" w:sz="4" w:space="0" w:color="000000"/>
              <w:left w:val="single" w:sz="4" w:space="0" w:color="000000"/>
              <w:bottom w:val="single" w:sz="4" w:space="0" w:color="000000"/>
              <w:right w:val="nil"/>
            </w:tcBorders>
            <w:vAlign w:val="center"/>
            <w:hideMark/>
          </w:tcPr>
          <w:p w14:paraId="10277AF3" w14:textId="77777777" w:rsidR="00AD7DB6" w:rsidRDefault="00AD7DB6" w:rsidP="00AD7DB6">
            <w:pPr>
              <w:snapToGrid w:val="0"/>
              <w:jc w:val="center"/>
              <w:rPr>
                <w:b/>
                <w:sz w:val="16"/>
              </w:rPr>
            </w:pPr>
            <w:r>
              <w:rPr>
                <w:b/>
                <w:sz w:val="16"/>
                <w:lang w:val="es"/>
              </w:rPr>
              <w:t>MCLG</w:t>
            </w:r>
          </w:p>
        </w:tc>
        <w:tc>
          <w:tcPr>
            <w:tcW w:w="1080" w:type="dxa"/>
            <w:tcBorders>
              <w:top w:val="single" w:sz="4" w:space="0" w:color="000000"/>
              <w:left w:val="single" w:sz="4" w:space="0" w:color="000000"/>
              <w:bottom w:val="single" w:sz="4" w:space="0" w:color="000000"/>
              <w:right w:val="nil"/>
            </w:tcBorders>
            <w:vAlign w:val="center"/>
            <w:hideMark/>
          </w:tcPr>
          <w:p w14:paraId="55A47539" w14:textId="77777777" w:rsidR="00AD7DB6" w:rsidRDefault="00AD7DB6" w:rsidP="00AD7DB6">
            <w:pPr>
              <w:snapToGrid w:val="0"/>
              <w:jc w:val="center"/>
              <w:rPr>
                <w:b/>
                <w:sz w:val="18"/>
              </w:rPr>
            </w:pPr>
            <w:r>
              <w:rPr>
                <w:b/>
                <w:sz w:val="18"/>
                <w:lang w:val="es"/>
              </w:rPr>
              <w:t>MCL (en inglés)</w:t>
            </w:r>
          </w:p>
        </w:tc>
        <w:tc>
          <w:tcPr>
            <w:tcW w:w="1880" w:type="dxa"/>
            <w:tcBorders>
              <w:top w:val="single" w:sz="4" w:space="0" w:color="000000"/>
              <w:left w:val="single" w:sz="4" w:space="0" w:color="000000"/>
              <w:bottom w:val="single" w:sz="4" w:space="0" w:color="000000"/>
              <w:right w:val="single" w:sz="4" w:space="0" w:color="000000"/>
            </w:tcBorders>
            <w:vAlign w:val="center"/>
            <w:hideMark/>
          </w:tcPr>
          <w:p w14:paraId="2131E759" w14:textId="77777777" w:rsidR="00AD7DB6" w:rsidRDefault="00AD7DB6" w:rsidP="00AD7DB6">
            <w:pPr>
              <w:snapToGrid w:val="0"/>
              <w:rPr>
                <w:b/>
                <w:sz w:val="18"/>
              </w:rPr>
            </w:pPr>
            <w:r>
              <w:rPr>
                <w:b/>
                <w:sz w:val="18"/>
                <w:lang w:val="es"/>
              </w:rPr>
              <w:t>Fuente probable de contaminación</w:t>
            </w:r>
          </w:p>
        </w:tc>
      </w:tr>
      <w:tr w:rsidR="00AD7DB6" w14:paraId="798503F0" w14:textId="77777777" w:rsidTr="00AD7DB6">
        <w:trPr>
          <w:cantSplit/>
          <w:trHeight w:val="563"/>
        </w:trPr>
        <w:tc>
          <w:tcPr>
            <w:tcW w:w="2391" w:type="dxa"/>
            <w:tcBorders>
              <w:top w:val="single" w:sz="4" w:space="0" w:color="000000"/>
              <w:left w:val="single" w:sz="4" w:space="0" w:color="000000"/>
              <w:bottom w:val="single" w:sz="4" w:space="0" w:color="000000"/>
              <w:right w:val="nil"/>
            </w:tcBorders>
            <w:vAlign w:val="center"/>
            <w:hideMark/>
          </w:tcPr>
          <w:p w14:paraId="1288112D" w14:textId="77777777" w:rsidR="00AD7DB6" w:rsidRDefault="00AD7DB6" w:rsidP="00AD7DB6">
            <w:pPr>
              <w:snapToGrid w:val="0"/>
              <w:rPr>
                <w:sz w:val="18"/>
              </w:rPr>
            </w:pPr>
            <w:r>
              <w:rPr>
                <w:sz w:val="18"/>
                <w:lang w:val="es"/>
              </w:rPr>
              <w:t>Cloro (ppm)</w:t>
            </w:r>
          </w:p>
        </w:tc>
        <w:tc>
          <w:tcPr>
            <w:tcW w:w="990" w:type="dxa"/>
            <w:tcBorders>
              <w:top w:val="single" w:sz="4" w:space="0" w:color="000000"/>
              <w:left w:val="single" w:sz="4" w:space="0" w:color="000000"/>
              <w:bottom w:val="single" w:sz="4" w:space="0" w:color="000000"/>
              <w:right w:val="nil"/>
            </w:tcBorders>
            <w:vAlign w:val="center"/>
            <w:hideMark/>
          </w:tcPr>
          <w:p w14:paraId="09079C34" w14:textId="77777777" w:rsidR="00AD7DB6" w:rsidRDefault="00AD7DB6" w:rsidP="00AD7DB6">
            <w:pPr>
              <w:snapToGrid w:val="0"/>
              <w:jc w:val="center"/>
              <w:rPr>
                <w:sz w:val="18"/>
              </w:rPr>
            </w:pPr>
            <w:r>
              <w:rPr>
                <w:sz w:val="18"/>
                <w:lang w:val="es"/>
              </w:rPr>
              <w:t>2021</w:t>
            </w:r>
          </w:p>
          <w:p w14:paraId="04003ADB" w14:textId="77777777" w:rsidR="00AD7DB6" w:rsidRDefault="00AD7DB6" w:rsidP="00AD7DB6">
            <w:pPr>
              <w:snapToGrid w:val="0"/>
              <w:jc w:val="center"/>
              <w:rPr>
                <w:sz w:val="18"/>
              </w:rPr>
            </w:pPr>
            <w:r>
              <w:rPr>
                <w:sz w:val="18"/>
                <w:lang w:val="es"/>
              </w:rPr>
              <w:t>Mensual</w:t>
            </w:r>
          </w:p>
        </w:tc>
        <w:tc>
          <w:tcPr>
            <w:tcW w:w="990" w:type="dxa"/>
            <w:tcBorders>
              <w:top w:val="single" w:sz="4" w:space="0" w:color="000000"/>
              <w:left w:val="single" w:sz="4" w:space="0" w:color="000000"/>
              <w:bottom w:val="single" w:sz="4" w:space="0" w:color="000000"/>
              <w:right w:val="nil"/>
            </w:tcBorders>
            <w:vAlign w:val="center"/>
            <w:hideMark/>
          </w:tcPr>
          <w:p w14:paraId="17DE8D5F" w14:textId="77777777" w:rsidR="00AD7DB6" w:rsidRDefault="00AD7DB6" w:rsidP="00AD7DB6">
            <w:pPr>
              <w:snapToGrid w:val="0"/>
              <w:jc w:val="center"/>
              <w:rPr>
                <w:sz w:val="18"/>
              </w:rPr>
            </w:pPr>
            <w:r>
              <w:rPr>
                <w:sz w:val="18"/>
                <w:lang w:val="es"/>
              </w:rPr>
              <w:t>N</w:t>
            </w:r>
          </w:p>
        </w:tc>
        <w:tc>
          <w:tcPr>
            <w:tcW w:w="900" w:type="dxa"/>
            <w:tcBorders>
              <w:top w:val="single" w:sz="4" w:space="0" w:color="000000"/>
              <w:left w:val="single" w:sz="4" w:space="0" w:color="000000"/>
              <w:bottom w:val="single" w:sz="4" w:space="0" w:color="000000"/>
              <w:right w:val="nil"/>
            </w:tcBorders>
            <w:vAlign w:val="center"/>
            <w:hideMark/>
          </w:tcPr>
          <w:p w14:paraId="4FE236A0" w14:textId="77777777" w:rsidR="00AD7DB6" w:rsidRDefault="00AD7DB6" w:rsidP="00AD7DB6">
            <w:pPr>
              <w:snapToGrid w:val="0"/>
              <w:jc w:val="center"/>
              <w:rPr>
                <w:sz w:val="18"/>
              </w:rPr>
            </w:pPr>
            <w:r>
              <w:rPr>
                <w:sz w:val="18"/>
                <w:lang w:val="es"/>
              </w:rPr>
              <w:t>2.0</w:t>
            </w:r>
          </w:p>
        </w:tc>
        <w:tc>
          <w:tcPr>
            <w:tcW w:w="1034" w:type="dxa"/>
            <w:tcBorders>
              <w:top w:val="single" w:sz="4" w:space="0" w:color="000000"/>
              <w:left w:val="single" w:sz="4" w:space="0" w:color="000000"/>
              <w:bottom w:val="single" w:sz="4" w:space="0" w:color="000000"/>
              <w:right w:val="nil"/>
            </w:tcBorders>
            <w:vAlign w:val="center"/>
            <w:hideMark/>
          </w:tcPr>
          <w:p w14:paraId="34566C0C" w14:textId="77777777" w:rsidR="00AD7DB6" w:rsidRDefault="00AD7DB6" w:rsidP="00AD7DB6">
            <w:pPr>
              <w:snapToGrid w:val="0"/>
              <w:jc w:val="center"/>
              <w:rPr>
                <w:sz w:val="18"/>
              </w:rPr>
            </w:pPr>
            <w:r>
              <w:rPr>
                <w:sz w:val="18"/>
                <w:lang w:val="es"/>
              </w:rPr>
              <w:t>0.34 – 3.98</w:t>
            </w:r>
          </w:p>
        </w:tc>
        <w:tc>
          <w:tcPr>
            <w:tcW w:w="1170" w:type="dxa"/>
            <w:tcBorders>
              <w:top w:val="single" w:sz="4" w:space="0" w:color="000000"/>
              <w:left w:val="single" w:sz="4" w:space="0" w:color="000000"/>
              <w:bottom w:val="single" w:sz="4" w:space="0" w:color="000000"/>
              <w:right w:val="nil"/>
            </w:tcBorders>
            <w:vAlign w:val="center"/>
            <w:hideMark/>
          </w:tcPr>
          <w:p w14:paraId="727BCC9E" w14:textId="77777777" w:rsidR="00AD7DB6" w:rsidRDefault="00AD7DB6" w:rsidP="00AD7DB6">
            <w:pPr>
              <w:snapToGrid w:val="0"/>
              <w:jc w:val="center"/>
              <w:rPr>
                <w:sz w:val="18"/>
              </w:rPr>
            </w:pPr>
            <w:r>
              <w:rPr>
                <w:sz w:val="18"/>
                <w:lang w:val="es"/>
              </w:rPr>
              <w:t>MRDLG = 4</w:t>
            </w:r>
          </w:p>
        </w:tc>
        <w:tc>
          <w:tcPr>
            <w:tcW w:w="1080" w:type="dxa"/>
            <w:tcBorders>
              <w:top w:val="single" w:sz="4" w:space="0" w:color="000000"/>
              <w:left w:val="single" w:sz="4" w:space="0" w:color="000000"/>
              <w:bottom w:val="single" w:sz="4" w:space="0" w:color="000000"/>
              <w:right w:val="nil"/>
            </w:tcBorders>
            <w:vAlign w:val="center"/>
            <w:hideMark/>
          </w:tcPr>
          <w:p w14:paraId="1265B573" w14:textId="77777777" w:rsidR="00AD7DB6" w:rsidRDefault="00AD7DB6" w:rsidP="00AD7DB6">
            <w:pPr>
              <w:snapToGrid w:val="0"/>
              <w:ind w:left="-100" w:right="-100"/>
              <w:jc w:val="center"/>
              <w:rPr>
                <w:sz w:val="18"/>
              </w:rPr>
            </w:pPr>
            <w:r>
              <w:rPr>
                <w:sz w:val="18"/>
                <w:lang w:val="es"/>
              </w:rPr>
              <w:t>MRDL = 4,0</w:t>
            </w:r>
          </w:p>
        </w:tc>
        <w:tc>
          <w:tcPr>
            <w:tcW w:w="1880" w:type="dxa"/>
            <w:tcBorders>
              <w:top w:val="single" w:sz="4" w:space="0" w:color="000000"/>
              <w:left w:val="single" w:sz="4" w:space="0" w:color="000000"/>
              <w:bottom w:val="single" w:sz="4" w:space="0" w:color="000000"/>
              <w:right w:val="single" w:sz="4" w:space="0" w:color="000000"/>
            </w:tcBorders>
            <w:vAlign w:val="center"/>
            <w:hideMark/>
          </w:tcPr>
          <w:p w14:paraId="62EEAD8E" w14:textId="77777777" w:rsidR="00AD7DB6" w:rsidRDefault="00AD7DB6" w:rsidP="00AD7DB6">
            <w:pPr>
              <w:snapToGrid w:val="0"/>
              <w:rPr>
                <w:sz w:val="18"/>
              </w:rPr>
            </w:pPr>
            <w:r>
              <w:rPr>
                <w:sz w:val="18"/>
                <w:lang w:val="es"/>
              </w:rPr>
              <w:t>Aditivo de agua utilizado para controlar microbios</w:t>
            </w:r>
          </w:p>
        </w:tc>
      </w:tr>
      <w:tr w:rsidR="00B223ED" w14:paraId="7A9015AB" w14:textId="77777777" w:rsidTr="00AD7DB6">
        <w:trPr>
          <w:cantSplit/>
          <w:trHeight w:val="683"/>
        </w:trPr>
        <w:tc>
          <w:tcPr>
            <w:tcW w:w="2391" w:type="dxa"/>
            <w:tcBorders>
              <w:top w:val="single" w:sz="4" w:space="0" w:color="000000"/>
              <w:left w:val="single" w:sz="4" w:space="0" w:color="000000"/>
              <w:bottom w:val="single" w:sz="4" w:space="0" w:color="000000"/>
              <w:right w:val="nil"/>
            </w:tcBorders>
            <w:vAlign w:val="center"/>
            <w:hideMark/>
          </w:tcPr>
          <w:p w14:paraId="7EF508D7" w14:textId="77777777" w:rsidR="00B223ED" w:rsidRDefault="00B223ED" w:rsidP="00B223ED">
            <w:pPr>
              <w:snapToGrid w:val="0"/>
              <w:rPr>
                <w:sz w:val="18"/>
              </w:rPr>
            </w:pPr>
            <w:r>
              <w:rPr>
                <w:sz w:val="18"/>
                <w:lang w:val="es"/>
              </w:rPr>
              <w:t xml:space="preserve"> Ácidos haloacéticos (HAA5) (ppb)</w:t>
            </w:r>
          </w:p>
        </w:tc>
        <w:tc>
          <w:tcPr>
            <w:tcW w:w="990" w:type="dxa"/>
            <w:tcBorders>
              <w:top w:val="single" w:sz="4" w:space="0" w:color="000000"/>
              <w:left w:val="single" w:sz="4" w:space="0" w:color="000000"/>
              <w:bottom w:val="single" w:sz="4" w:space="0" w:color="000000"/>
              <w:right w:val="nil"/>
            </w:tcBorders>
            <w:vAlign w:val="center"/>
            <w:hideMark/>
          </w:tcPr>
          <w:p w14:paraId="19612DA6" w14:textId="77777777" w:rsidR="00B223ED" w:rsidRDefault="00B223ED" w:rsidP="00B223ED">
            <w:pPr>
              <w:snapToGrid w:val="0"/>
              <w:jc w:val="center"/>
              <w:rPr>
                <w:sz w:val="18"/>
              </w:rPr>
            </w:pPr>
            <w:r>
              <w:rPr>
                <w:sz w:val="18"/>
                <w:lang w:val="es"/>
              </w:rPr>
              <w:t>1/21-12/21</w:t>
            </w:r>
          </w:p>
          <w:p w14:paraId="4020F16D" w14:textId="77777777" w:rsidR="00B223ED" w:rsidRDefault="00B223ED" w:rsidP="00B223ED">
            <w:pPr>
              <w:snapToGrid w:val="0"/>
              <w:jc w:val="center"/>
              <w:rPr>
                <w:sz w:val="18"/>
              </w:rPr>
            </w:pPr>
          </w:p>
        </w:tc>
        <w:tc>
          <w:tcPr>
            <w:tcW w:w="990" w:type="dxa"/>
            <w:tcBorders>
              <w:top w:val="single" w:sz="4" w:space="0" w:color="000000"/>
              <w:left w:val="single" w:sz="4" w:space="0" w:color="000000"/>
              <w:bottom w:val="single" w:sz="4" w:space="0" w:color="000000"/>
              <w:right w:val="nil"/>
            </w:tcBorders>
            <w:vAlign w:val="center"/>
          </w:tcPr>
          <w:p w14:paraId="4ADABE4F" w14:textId="77777777" w:rsidR="00B223ED" w:rsidRDefault="00B223ED" w:rsidP="00B223ED">
            <w:pPr>
              <w:snapToGrid w:val="0"/>
              <w:jc w:val="center"/>
              <w:rPr>
                <w:sz w:val="18"/>
              </w:rPr>
            </w:pPr>
            <w:r>
              <w:rPr>
                <w:sz w:val="18"/>
                <w:lang w:val="es"/>
              </w:rPr>
              <w:t>N</w:t>
            </w:r>
          </w:p>
          <w:p w14:paraId="44C3C320" w14:textId="77777777" w:rsidR="00B223ED" w:rsidRDefault="00B223ED" w:rsidP="00B223ED">
            <w:pPr>
              <w:snapToGrid w:val="0"/>
              <w:jc w:val="center"/>
              <w:rPr>
                <w:sz w:val="18"/>
              </w:rPr>
            </w:pPr>
          </w:p>
        </w:tc>
        <w:tc>
          <w:tcPr>
            <w:tcW w:w="900" w:type="dxa"/>
            <w:tcBorders>
              <w:top w:val="single" w:sz="4" w:space="0" w:color="000000"/>
              <w:left w:val="single" w:sz="4" w:space="0" w:color="000000"/>
              <w:bottom w:val="single" w:sz="4" w:space="0" w:color="000000"/>
              <w:right w:val="nil"/>
            </w:tcBorders>
            <w:vAlign w:val="center"/>
            <w:hideMark/>
          </w:tcPr>
          <w:p w14:paraId="25218814" w14:textId="4310798D" w:rsidR="00B223ED" w:rsidRDefault="00B223ED" w:rsidP="00B223ED">
            <w:pPr>
              <w:snapToGrid w:val="0"/>
              <w:jc w:val="center"/>
              <w:rPr>
                <w:sz w:val="18"/>
              </w:rPr>
            </w:pPr>
            <w:r>
              <w:rPr>
                <w:sz w:val="18"/>
                <w:lang w:val="es"/>
              </w:rPr>
              <w:t>15 (LRAA más alto en el Sitio 1)</w:t>
            </w:r>
          </w:p>
        </w:tc>
        <w:tc>
          <w:tcPr>
            <w:tcW w:w="1034" w:type="dxa"/>
            <w:tcBorders>
              <w:top w:val="single" w:sz="4" w:space="0" w:color="000000"/>
              <w:left w:val="single" w:sz="4" w:space="0" w:color="000000"/>
              <w:bottom w:val="single" w:sz="4" w:space="0" w:color="000000"/>
              <w:right w:val="nil"/>
            </w:tcBorders>
            <w:vAlign w:val="center"/>
            <w:hideMark/>
          </w:tcPr>
          <w:p w14:paraId="126E3EDC" w14:textId="12F4B224" w:rsidR="00B223ED" w:rsidRDefault="00B223ED" w:rsidP="00B223ED">
            <w:pPr>
              <w:snapToGrid w:val="0"/>
              <w:jc w:val="center"/>
              <w:rPr>
                <w:sz w:val="18"/>
              </w:rPr>
            </w:pPr>
            <w:r>
              <w:rPr>
                <w:sz w:val="18"/>
                <w:lang w:val="es"/>
              </w:rPr>
              <w:t>7.2-11</w:t>
            </w:r>
          </w:p>
        </w:tc>
        <w:tc>
          <w:tcPr>
            <w:tcW w:w="1170" w:type="dxa"/>
            <w:tcBorders>
              <w:top w:val="single" w:sz="4" w:space="0" w:color="000000"/>
              <w:left w:val="single" w:sz="4" w:space="0" w:color="000000"/>
              <w:bottom w:val="single" w:sz="4" w:space="0" w:color="000000"/>
              <w:right w:val="nil"/>
            </w:tcBorders>
            <w:vAlign w:val="center"/>
            <w:hideMark/>
          </w:tcPr>
          <w:p w14:paraId="2A6E3E5D" w14:textId="77777777" w:rsidR="00B223ED" w:rsidRDefault="00B223ED" w:rsidP="00B223ED">
            <w:pPr>
              <w:snapToGrid w:val="0"/>
              <w:jc w:val="center"/>
              <w:rPr>
                <w:sz w:val="18"/>
              </w:rPr>
            </w:pPr>
            <w:r>
              <w:rPr>
                <w:sz w:val="18"/>
                <w:lang w:val="es"/>
              </w:rPr>
              <w:t>N/A</w:t>
            </w:r>
          </w:p>
        </w:tc>
        <w:tc>
          <w:tcPr>
            <w:tcW w:w="1080" w:type="dxa"/>
            <w:tcBorders>
              <w:top w:val="single" w:sz="4" w:space="0" w:color="000000"/>
              <w:left w:val="single" w:sz="4" w:space="0" w:color="000000"/>
              <w:bottom w:val="single" w:sz="4" w:space="0" w:color="000000"/>
              <w:right w:val="nil"/>
            </w:tcBorders>
            <w:vAlign w:val="center"/>
            <w:hideMark/>
          </w:tcPr>
          <w:p w14:paraId="625B315A" w14:textId="77777777" w:rsidR="00B223ED" w:rsidRDefault="00B223ED" w:rsidP="00B223ED">
            <w:pPr>
              <w:snapToGrid w:val="0"/>
              <w:ind w:left="-100" w:right="-100"/>
              <w:jc w:val="center"/>
              <w:rPr>
                <w:sz w:val="18"/>
              </w:rPr>
            </w:pPr>
            <w:r>
              <w:rPr>
                <w:sz w:val="18"/>
                <w:lang w:val="es"/>
              </w:rPr>
              <w:t>MCL = 60</w:t>
            </w:r>
          </w:p>
        </w:tc>
        <w:tc>
          <w:tcPr>
            <w:tcW w:w="1880" w:type="dxa"/>
            <w:tcBorders>
              <w:top w:val="single" w:sz="4" w:space="0" w:color="000000"/>
              <w:left w:val="single" w:sz="4" w:space="0" w:color="000000"/>
              <w:bottom w:val="single" w:sz="4" w:space="0" w:color="000000"/>
              <w:right w:val="single" w:sz="4" w:space="0" w:color="000000"/>
            </w:tcBorders>
            <w:vAlign w:val="center"/>
            <w:hideMark/>
          </w:tcPr>
          <w:p w14:paraId="5F81330B" w14:textId="77777777" w:rsidR="00B223ED" w:rsidRDefault="00B223ED" w:rsidP="00B223ED">
            <w:pPr>
              <w:snapToGrid w:val="0"/>
              <w:rPr>
                <w:sz w:val="18"/>
              </w:rPr>
            </w:pPr>
            <w:r>
              <w:rPr>
                <w:sz w:val="18"/>
                <w:lang w:val="es"/>
              </w:rPr>
              <w:t>Subproducto de la desinfección del agua potable</w:t>
            </w:r>
          </w:p>
        </w:tc>
      </w:tr>
      <w:tr w:rsidR="00711960" w14:paraId="1D360F7F" w14:textId="77777777" w:rsidTr="00AD7DB6">
        <w:trPr>
          <w:cantSplit/>
          <w:trHeight w:val="403"/>
        </w:trPr>
        <w:tc>
          <w:tcPr>
            <w:tcW w:w="2391" w:type="dxa"/>
            <w:tcBorders>
              <w:top w:val="single" w:sz="4" w:space="0" w:color="000000"/>
              <w:left w:val="single" w:sz="4" w:space="0" w:color="000000"/>
              <w:bottom w:val="single" w:sz="4" w:space="0" w:color="auto"/>
              <w:right w:val="nil"/>
            </w:tcBorders>
            <w:vAlign w:val="center"/>
            <w:hideMark/>
          </w:tcPr>
          <w:p w14:paraId="049C37D0" w14:textId="77777777" w:rsidR="00711960" w:rsidRDefault="00711960" w:rsidP="00711960">
            <w:pPr>
              <w:snapToGrid w:val="0"/>
              <w:rPr>
                <w:sz w:val="18"/>
              </w:rPr>
            </w:pPr>
            <w:r>
              <w:rPr>
                <w:sz w:val="18"/>
                <w:lang w:val="es"/>
              </w:rPr>
              <w:t>Trihalometanos totales (TTHM) (ppb)</w:t>
            </w:r>
          </w:p>
        </w:tc>
        <w:tc>
          <w:tcPr>
            <w:tcW w:w="990" w:type="dxa"/>
            <w:tcBorders>
              <w:top w:val="single" w:sz="4" w:space="0" w:color="000000"/>
              <w:left w:val="single" w:sz="4" w:space="0" w:color="000000"/>
              <w:bottom w:val="single" w:sz="4" w:space="0" w:color="auto"/>
              <w:right w:val="nil"/>
            </w:tcBorders>
            <w:vAlign w:val="center"/>
            <w:hideMark/>
          </w:tcPr>
          <w:p w14:paraId="7815CF3F" w14:textId="77777777" w:rsidR="00711960" w:rsidRDefault="00711960" w:rsidP="00711960">
            <w:pPr>
              <w:snapToGrid w:val="0"/>
              <w:jc w:val="center"/>
              <w:rPr>
                <w:sz w:val="18"/>
              </w:rPr>
            </w:pPr>
            <w:r>
              <w:rPr>
                <w:sz w:val="18"/>
                <w:lang w:val="es"/>
              </w:rPr>
              <w:t>1/21-12/21</w:t>
            </w:r>
          </w:p>
          <w:p w14:paraId="77BC95ED" w14:textId="77777777" w:rsidR="00711960" w:rsidRDefault="00711960" w:rsidP="00711960">
            <w:pPr>
              <w:snapToGrid w:val="0"/>
              <w:jc w:val="center"/>
              <w:rPr>
                <w:sz w:val="18"/>
              </w:rPr>
            </w:pPr>
          </w:p>
        </w:tc>
        <w:tc>
          <w:tcPr>
            <w:tcW w:w="990" w:type="dxa"/>
            <w:tcBorders>
              <w:top w:val="single" w:sz="4" w:space="0" w:color="000000"/>
              <w:left w:val="single" w:sz="4" w:space="0" w:color="000000"/>
              <w:bottom w:val="single" w:sz="4" w:space="0" w:color="auto"/>
              <w:right w:val="nil"/>
            </w:tcBorders>
            <w:vAlign w:val="center"/>
          </w:tcPr>
          <w:p w14:paraId="18D0909F" w14:textId="77777777" w:rsidR="00711960" w:rsidRDefault="00711960" w:rsidP="00711960">
            <w:pPr>
              <w:snapToGrid w:val="0"/>
              <w:jc w:val="center"/>
              <w:rPr>
                <w:sz w:val="18"/>
              </w:rPr>
            </w:pPr>
          </w:p>
          <w:p w14:paraId="1448F06B" w14:textId="77777777" w:rsidR="00711960" w:rsidRDefault="00711960" w:rsidP="00711960">
            <w:pPr>
              <w:snapToGrid w:val="0"/>
              <w:jc w:val="center"/>
              <w:rPr>
                <w:sz w:val="18"/>
              </w:rPr>
            </w:pPr>
            <w:r>
              <w:rPr>
                <w:sz w:val="18"/>
                <w:lang w:val="es"/>
              </w:rPr>
              <w:t>N</w:t>
            </w:r>
          </w:p>
          <w:p w14:paraId="4D3BE561" w14:textId="77777777" w:rsidR="00711960" w:rsidRDefault="00711960" w:rsidP="00711960">
            <w:pPr>
              <w:snapToGrid w:val="0"/>
              <w:jc w:val="center"/>
              <w:rPr>
                <w:sz w:val="18"/>
              </w:rPr>
            </w:pPr>
          </w:p>
        </w:tc>
        <w:tc>
          <w:tcPr>
            <w:tcW w:w="900" w:type="dxa"/>
            <w:tcBorders>
              <w:top w:val="single" w:sz="4" w:space="0" w:color="000000"/>
              <w:left w:val="single" w:sz="4" w:space="0" w:color="000000"/>
              <w:bottom w:val="single" w:sz="4" w:space="0" w:color="auto"/>
              <w:right w:val="nil"/>
            </w:tcBorders>
            <w:vAlign w:val="center"/>
            <w:hideMark/>
          </w:tcPr>
          <w:p w14:paraId="0DDB9009" w14:textId="0134CD4B" w:rsidR="00711960" w:rsidRDefault="00711960" w:rsidP="00711960">
            <w:pPr>
              <w:jc w:val="center"/>
              <w:rPr>
                <w:sz w:val="18"/>
              </w:rPr>
            </w:pPr>
            <w:r w:rsidRPr="00170AEC">
              <w:rPr>
                <w:sz w:val="18"/>
                <w:lang w:val="es"/>
              </w:rPr>
              <w:t>5</w:t>
            </w:r>
            <w:r>
              <w:rPr>
                <w:sz w:val="18"/>
                <w:lang w:val="es"/>
              </w:rPr>
              <w:t>0</w:t>
            </w:r>
            <w:r w:rsidRPr="00170AEC">
              <w:rPr>
                <w:sz w:val="18"/>
                <w:lang w:val="es"/>
              </w:rPr>
              <w:t xml:space="preserve"> (LRAA más alto en el Sitio 1)</w:t>
            </w:r>
          </w:p>
        </w:tc>
        <w:tc>
          <w:tcPr>
            <w:tcW w:w="1034" w:type="dxa"/>
            <w:tcBorders>
              <w:top w:val="single" w:sz="4" w:space="0" w:color="000000"/>
              <w:left w:val="single" w:sz="4" w:space="0" w:color="000000"/>
              <w:bottom w:val="single" w:sz="4" w:space="0" w:color="auto"/>
              <w:right w:val="nil"/>
            </w:tcBorders>
            <w:vAlign w:val="center"/>
          </w:tcPr>
          <w:p w14:paraId="3B315BEC" w14:textId="77777777" w:rsidR="00711960" w:rsidRDefault="00711960" w:rsidP="00711960">
            <w:pPr>
              <w:jc w:val="center"/>
              <w:rPr>
                <w:sz w:val="18"/>
              </w:rPr>
            </w:pPr>
          </w:p>
          <w:p w14:paraId="6FA03E7B" w14:textId="77777777" w:rsidR="00711960" w:rsidRDefault="00711960" w:rsidP="00711960">
            <w:pPr>
              <w:jc w:val="center"/>
              <w:rPr>
                <w:sz w:val="18"/>
              </w:rPr>
            </w:pPr>
            <w:r>
              <w:rPr>
                <w:sz w:val="18"/>
                <w:lang w:val="es"/>
              </w:rPr>
              <w:t>19-36</w:t>
            </w:r>
          </w:p>
          <w:p w14:paraId="7189D50A" w14:textId="77777777" w:rsidR="00711960" w:rsidRDefault="00711960" w:rsidP="00711960">
            <w:pPr>
              <w:jc w:val="center"/>
              <w:rPr>
                <w:sz w:val="18"/>
              </w:rPr>
            </w:pPr>
          </w:p>
        </w:tc>
        <w:tc>
          <w:tcPr>
            <w:tcW w:w="1170" w:type="dxa"/>
            <w:tcBorders>
              <w:top w:val="single" w:sz="4" w:space="0" w:color="000000"/>
              <w:left w:val="single" w:sz="4" w:space="0" w:color="000000"/>
              <w:bottom w:val="single" w:sz="4" w:space="0" w:color="auto"/>
              <w:right w:val="nil"/>
            </w:tcBorders>
            <w:vAlign w:val="center"/>
            <w:hideMark/>
          </w:tcPr>
          <w:p w14:paraId="4FBED140" w14:textId="77777777" w:rsidR="00711960" w:rsidRDefault="00711960" w:rsidP="00711960">
            <w:pPr>
              <w:snapToGrid w:val="0"/>
              <w:jc w:val="center"/>
              <w:rPr>
                <w:sz w:val="18"/>
              </w:rPr>
            </w:pPr>
            <w:r>
              <w:rPr>
                <w:sz w:val="18"/>
                <w:lang w:val="es"/>
              </w:rPr>
              <w:t>N/A</w:t>
            </w:r>
          </w:p>
        </w:tc>
        <w:tc>
          <w:tcPr>
            <w:tcW w:w="1080" w:type="dxa"/>
            <w:tcBorders>
              <w:top w:val="single" w:sz="4" w:space="0" w:color="000000"/>
              <w:left w:val="single" w:sz="4" w:space="0" w:color="000000"/>
              <w:bottom w:val="single" w:sz="4" w:space="0" w:color="auto"/>
              <w:right w:val="nil"/>
            </w:tcBorders>
            <w:vAlign w:val="center"/>
            <w:hideMark/>
          </w:tcPr>
          <w:p w14:paraId="666E5E63" w14:textId="77777777" w:rsidR="00711960" w:rsidRDefault="00711960" w:rsidP="00711960">
            <w:pPr>
              <w:snapToGrid w:val="0"/>
              <w:ind w:left="-100" w:right="-100"/>
              <w:jc w:val="center"/>
              <w:rPr>
                <w:sz w:val="18"/>
              </w:rPr>
            </w:pPr>
            <w:r>
              <w:rPr>
                <w:sz w:val="18"/>
                <w:lang w:val="es"/>
              </w:rPr>
              <w:t>MCL = 80</w:t>
            </w:r>
          </w:p>
        </w:tc>
        <w:tc>
          <w:tcPr>
            <w:tcW w:w="1880" w:type="dxa"/>
            <w:tcBorders>
              <w:top w:val="single" w:sz="4" w:space="0" w:color="000000"/>
              <w:left w:val="single" w:sz="4" w:space="0" w:color="000000"/>
              <w:bottom w:val="single" w:sz="4" w:space="0" w:color="auto"/>
              <w:right w:val="single" w:sz="4" w:space="0" w:color="000000"/>
            </w:tcBorders>
            <w:vAlign w:val="center"/>
            <w:hideMark/>
          </w:tcPr>
          <w:p w14:paraId="3327E983" w14:textId="77777777" w:rsidR="00711960" w:rsidRDefault="00711960" w:rsidP="00711960">
            <w:pPr>
              <w:snapToGrid w:val="0"/>
              <w:rPr>
                <w:sz w:val="18"/>
              </w:rPr>
            </w:pPr>
            <w:r>
              <w:rPr>
                <w:sz w:val="18"/>
                <w:lang w:val="es"/>
              </w:rPr>
              <w:t>Subproducto de la desinfección del agua potable</w:t>
            </w:r>
          </w:p>
        </w:tc>
      </w:tr>
      <w:tr w:rsidR="00711960" w14:paraId="2ADCFFED" w14:textId="77777777" w:rsidTr="00AD7DB6">
        <w:trPr>
          <w:cantSplit/>
          <w:trHeight w:val="403"/>
        </w:trPr>
        <w:tc>
          <w:tcPr>
            <w:tcW w:w="10435" w:type="dxa"/>
            <w:gridSpan w:val="8"/>
            <w:tcBorders>
              <w:top w:val="single" w:sz="4" w:space="0" w:color="auto"/>
            </w:tcBorders>
            <w:vAlign w:val="center"/>
          </w:tcPr>
          <w:p w14:paraId="3DFD4ADC" w14:textId="77777777" w:rsidR="00711960" w:rsidRDefault="00711960" w:rsidP="00711960">
            <w:pPr>
              <w:snapToGrid w:val="0"/>
              <w:rPr>
                <w:sz w:val="18"/>
              </w:rPr>
            </w:pPr>
          </w:p>
          <w:p w14:paraId="392DBDF4" w14:textId="77777777" w:rsidR="00711960" w:rsidRDefault="00711960" w:rsidP="00711960">
            <w:pPr>
              <w:snapToGrid w:val="0"/>
              <w:rPr>
                <w:sz w:val="18"/>
              </w:rPr>
            </w:pPr>
          </w:p>
        </w:tc>
      </w:tr>
    </w:tbl>
    <w:p w14:paraId="5C7BAF10" w14:textId="77777777" w:rsidR="00DE1CA0" w:rsidRDefault="00DE1CA0" w:rsidP="00DE1CA0">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sz w:val="32"/>
          <w:u w:val="single"/>
        </w:rPr>
      </w:pPr>
    </w:p>
    <w:p w14:paraId="2DCB1CDE" w14:textId="77777777" w:rsidR="00DE1CA0" w:rsidRDefault="00DE1CA0" w:rsidP="00DE1CA0">
      <w:pPr>
        <w:rPr>
          <w:vanish/>
        </w:rPr>
      </w:pPr>
    </w:p>
    <w:p w14:paraId="3DA1D31C" w14:textId="77777777" w:rsidR="00DE1CA0" w:rsidRDefault="00DE1CA0" w:rsidP="00DE1CA0">
      <w:pPr>
        <w:rPr>
          <w:vanish/>
        </w:rPr>
      </w:pPr>
    </w:p>
    <w:tbl>
      <w:tblPr>
        <w:tblpPr w:leftFromText="180" w:rightFromText="180" w:vertAnchor="text" w:horzAnchor="margin" w:tblpXSpec="center" w:tblpY="3"/>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1975"/>
        <w:gridCol w:w="990"/>
        <w:gridCol w:w="900"/>
        <w:gridCol w:w="990"/>
        <w:gridCol w:w="1350"/>
        <w:gridCol w:w="8"/>
        <w:gridCol w:w="712"/>
        <w:gridCol w:w="900"/>
        <w:gridCol w:w="2610"/>
      </w:tblGrid>
      <w:tr w:rsidR="00DE1CA0" w14:paraId="3E97D165" w14:textId="77777777" w:rsidTr="00AD7DB6">
        <w:trPr>
          <w:cantSplit/>
          <w:trHeight w:val="533"/>
        </w:trPr>
        <w:tc>
          <w:tcPr>
            <w:tcW w:w="10435" w:type="dxa"/>
            <w:gridSpan w:val="9"/>
            <w:tcBorders>
              <w:top w:val="single" w:sz="4" w:space="0" w:color="000000"/>
              <w:left w:val="single" w:sz="4" w:space="0" w:color="000000"/>
              <w:bottom w:val="single" w:sz="4" w:space="0" w:color="000000"/>
              <w:right w:val="single" w:sz="4" w:space="0" w:color="000000"/>
            </w:tcBorders>
            <w:vAlign w:val="center"/>
            <w:hideMark/>
          </w:tcPr>
          <w:p w14:paraId="042C9D36" w14:textId="77777777" w:rsidR="00DE1CA0" w:rsidRDefault="00DE1CA0">
            <w:pPr>
              <w:snapToGrid w:val="0"/>
              <w:rPr>
                <w:b/>
                <w:sz w:val="28"/>
              </w:rPr>
            </w:pPr>
            <w:r>
              <w:rPr>
                <w:b/>
                <w:sz w:val="28"/>
                <w:lang w:val="es"/>
              </w:rPr>
              <w:t>Plomo y cobre (agua del grifo)</w:t>
            </w:r>
          </w:p>
        </w:tc>
      </w:tr>
      <w:tr w:rsidR="00A825B2" w14:paraId="3A438C76" w14:textId="77777777" w:rsidTr="00AD7DB6">
        <w:trPr>
          <w:cantSplit/>
          <w:trHeight w:val="403"/>
        </w:trPr>
        <w:tc>
          <w:tcPr>
            <w:tcW w:w="1975" w:type="dxa"/>
            <w:tcBorders>
              <w:top w:val="single" w:sz="4" w:space="0" w:color="000000"/>
              <w:left w:val="single" w:sz="4" w:space="0" w:color="000000"/>
              <w:bottom w:val="single" w:sz="4" w:space="0" w:color="000000"/>
              <w:right w:val="single" w:sz="4" w:space="0" w:color="000000"/>
            </w:tcBorders>
            <w:vAlign w:val="center"/>
          </w:tcPr>
          <w:p w14:paraId="6148F30B" w14:textId="77777777" w:rsidR="00A825B2" w:rsidRDefault="00A825B2" w:rsidP="00A825B2">
            <w:pPr>
              <w:snapToGrid w:val="0"/>
              <w:rPr>
                <w:b/>
                <w:sz w:val="16"/>
              </w:rPr>
            </w:pPr>
            <w:r>
              <w:rPr>
                <w:b/>
                <w:sz w:val="16"/>
                <w:lang w:val="es"/>
              </w:rPr>
              <w:t>Contaminante y unidad de medida</w:t>
            </w:r>
          </w:p>
        </w:tc>
        <w:tc>
          <w:tcPr>
            <w:tcW w:w="990" w:type="dxa"/>
            <w:tcBorders>
              <w:top w:val="single" w:sz="4" w:space="0" w:color="000000"/>
              <w:left w:val="single" w:sz="4" w:space="0" w:color="000000"/>
              <w:bottom w:val="single" w:sz="4" w:space="0" w:color="000000"/>
              <w:right w:val="single" w:sz="4" w:space="0" w:color="000000"/>
            </w:tcBorders>
            <w:vAlign w:val="center"/>
          </w:tcPr>
          <w:p w14:paraId="46A0E7A7" w14:textId="77777777" w:rsidR="00A825B2" w:rsidRDefault="00A825B2" w:rsidP="00A825B2">
            <w:pPr>
              <w:snapToGrid w:val="0"/>
              <w:jc w:val="center"/>
              <w:rPr>
                <w:b/>
                <w:sz w:val="16"/>
              </w:rPr>
            </w:pPr>
            <w:r>
              <w:rPr>
                <w:b/>
                <w:sz w:val="16"/>
                <w:lang w:val="es"/>
              </w:rPr>
              <w:t>Fechas de muestreo (mo./año)</w:t>
            </w:r>
          </w:p>
        </w:tc>
        <w:tc>
          <w:tcPr>
            <w:tcW w:w="900" w:type="dxa"/>
            <w:tcBorders>
              <w:top w:val="single" w:sz="4" w:space="0" w:color="000000"/>
              <w:left w:val="single" w:sz="4" w:space="0" w:color="000000"/>
              <w:bottom w:val="single" w:sz="4" w:space="0" w:color="000000"/>
              <w:right w:val="single" w:sz="4" w:space="0" w:color="000000"/>
            </w:tcBorders>
            <w:vAlign w:val="center"/>
          </w:tcPr>
          <w:p w14:paraId="25E3D8C5" w14:textId="77777777" w:rsidR="00A825B2" w:rsidRDefault="00A825B2" w:rsidP="00A825B2">
            <w:pPr>
              <w:snapToGrid w:val="0"/>
              <w:jc w:val="center"/>
              <w:rPr>
                <w:b/>
                <w:sz w:val="16"/>
              </w:rPr>
            </w:pPr>
            <w:r>
              <w:rPr>
                <w:b/>
                <w:sz w:val="16"/>
                <w:lang w:val="es"/>
              </w:rPr>
              <w:t>AL excedido</w:t>
            </w:r>
          </w:p>
          <w:p w14:paraId="30FFD502" w14:textId="77777777" w:rsidR="00A825B2" w:rsidRDefault="00A825B2" w:rsidP="00A825B2">
            <w:pPr>
              <w:jc w:val="center"/>
              <w:rPr>
                <w:b/>
                <w:sz w:val="16"/>
              </w:rPr>
            </w:pPr>
            <w:r>
              <w:rPr>
                <w:b/>
                <w:sz w:val="16"/>
                <w:lang w:val="es"/>
              </w:rPr>
              <w:t>(Y/N)</w:t>
            </w:r>
          </w:p>
        </w:tc>
        <w:tc>
          <w:tcPr>
            <w:tcW w:w="990" w:type="dxa"/>
            <w:tcBorders>
              <w:top w:val="single" w:sz="4" w:space="0" w:color="000000"/>
              <w:left w:val="single" w:sz="4" w:space="0" w:color="000000"/>
              <w:bottom w:val="single" w:sz="4" w:space="0" w:color="000000"/>
              <w:right w:val="single" w:sz="4" w:space="0" w:color="000000"/>
            </w:tcBorders>
            <w:vAlign w:val="center"/>
          </w:tcPr>
          <w:p w14:paraId="619B8697" w14:textId="77777777" w:rsidR="00A825B2" w:rsidRDefault="00A825B2" w:rsidP="00A825B2">
            <w:pPr>
              <w:snapToGrid w:val="0"/>
              <w:jc w:val="center"/>
              <w:rPr>
                <w:b/>
                <w:sz w:val="16"/>
              </w:rPr>
            </w:pPr>
            <w:r>
              <w:rPr>
                <w:b/>
                <w:sz w:val="16"/>
                <w:lang w:val="es"/>
              </w:rPr>
              <w:t>Resultado del percentil 90</w:t>
            </w:r>
          </w:p>
        </w:tc>
        <w:tc>
          <w:tcPr>
            <w:tcW w:w="1350" w:type="dxa"/>
            <w:tcBorders>
              <w:top w:val="single" w:sz="4" w:space="0" w:color="000000"/>
              <w:left w:val="single" w:sz="4" w:space="0" w:color="000000"/>
              <w:bottom w:val="single" w:sz="4" w:space="0" w:color="000000"/>
              <w:right w:val="single" w:sz="4" w:space="0" w:color="000000"/>
            </w:tcBorders>
            <w:vAlign w:val="center"/>
          </w:tcPr>
          <w:p w14:paraId="26873908" w14:textId="77777777" w:rsidR="00A825B2" w:rsidRDefault="00A825B2" w:rsidP="00A825B2">
            <w:pPr>
              <w:snapToGrid w:val="0"/>
              <w:jc w:val="center"/>
              <w:rPr>
                <w:b/>
                <w:sz w:val="16"/>
              </w:rPr>
            </w:pPr>
            <w:r>
              <w:rPr>
                <w:b/>
                <w:sz w:val="16"/>
                <w:lang w:val="es"/>
              </w:rPr>
              <w:t>No. de los lugares de muestreo que excedan la AL</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2CA3AA25" w14:textId="77777777" w:rsidR="00A825B2" w:rsidRDefault="00A825B2" w:rsidP="00A825B2">
            <w:pPr>
              <w:snapToGrid w:val="0"/>
              <w:jc w:val="center"/>
              <w:rPr>
                <w:b/>
                <w:sz w:val="16"/>
              </w:rPr>
            </w:pPr>
            <w:r>
              <w:rPr>
                <w:b/>
                <w:sz w:val="16"/>
                <w:lang w:val="es"/>
              </w:rPr>
              <w:t>MCLG</w:t>
            </w:r>
          </w:p>
        </w:tc>
        <w:tc>
          <w:tcPr>
            <w:tcW w:w="900" w:type="dxa"/>
            <w:tcBorders>
              <w:top w:val="single" w:sz="4" w:space="0" w:color="000000"/>
              <w:left w:val="single" w:sz="4" w:space="0" w:color="000000"/>
              <w:bottom w:val="single" w:sz="4" w:space="0" w:color="000000"/>
              <w:right w:val="single" w:sz="4" w:space="0" w:color="000000"/>
            </w:tcBorders>
            <w:vAlign w:val="center"/>
          </w:tcPr>
          <w:p w14:paraId="1DC316CC" w14:textId="77777777" w:rsidR="00A825B2" w:rsidRDefault="00A825B2" w:rsidP="00A825B2">
            <w:pPr>
              <w:snapToGrid w:val="0"/>
              <w:jc w:val="center"/>
              <w:rPr>
                <w:b/>
                <w:sz w:val="16"/>
              </w:rPr>
            </w:pPr>
            <w:r>
              <w:rPr>
                <w:b/>
                <w:sz w:val="16"/>
                <w:lang w:val="es"/>
              </w:rPr>
              <w:t>AL (Nivel de Acción)</w:t>
            </w:r>
          </w:p>
        </w:tc>
        <w:tc>
          <w:tcPr>
            <w:tcW w:w="2610" w:type="dxa"/>
            <w:tcBorders>
              <w:top w:val="single" w:sz="4" w:space="0" w:color="000000"/>
              <w:left w:val="single" w:sz="4" w:space="0" w:color="000000"/>
              <w:bottom w:val="single" w:sz="4" w:space="0" w:color="000000"/>
              <w:right w:val="single" w:sz="4" w:space="0" w:color="000000"/>
            </w:tcBorders>
            <w:vAlign w:val="center"/>
          </w:tcPr>
          <w:p w14:paraId="604E6347" w14:textId="77777777" w:rsidR="00A825B2" w:rsidRDefault="00A825B2" w:rsidP="00A825B2">
            <w:pPr>
              <w:snapToGrid w:val="0"/>
              <w:jc w:val="center"/>
              <w:rPr>
                <w:b/>
                <w:sz w:val="16"/>
              </w:rPr>
            </w:pPr>
            <w:r>
              <w:rPr>
                <w:b/>
                <w:sz w:val="16"/>
                <w:lang w:val="es"/>
              </w:rPr>
              <w:t>Fuente probable de contaminación</w:t>
            </w:r>
          </w:p>
        </w:tc>
      </w:tr>
      <w:tr w:rsidR="00DE1CA0" w14:paraId="4E6D4E54" w14:textId="77777777" w:rsidTr="00AD7DB6">
        <w:trPr>
          <w:cantSplit/>
          <w:trHeight w:val="403"/>
        </w:trPr>
        <w:tc>
          <w:tcPr>
            <w:tcW w:w="1975" w:type="dxa"/>
            <w:tcBorders>
              <w:top w:val="single" w:sz="4" w:space="0" w:color="000000"/>
              <w:left w:val="single" w:sz="4" w:space="0" w:color="000000"/>
              <w:bottom w:val="single" w:sz="4" w:space="0" w:color="000000"/>
              <w:right w:val="single" w:sz="4" w:space="0" w:color="000000"/>
            </w:tcBorders>
            <w:vAlign w:val="center"/>
            <w:hideMark/>
          </w:tcPr>
          <w:p w14:paraId="4C705366" w14:textId="77777777" w:rsidR="00DE1CA0" w:rsidRDefault="00DE1CA0">
            <w:pPr>
              <w:snapToGrid w:val="0"/>
              <w:rPr>
                <w:sz w:val="18"/>
              </w:rPr>
            </w:pPr>
            <w:r>
              <w:rPr>
                <w:sz w:val="18"/>
                <w:lang w:val="es"/>
              </w:rPr>
              <w:t>Cobre (agua del grifo) (ppm)</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0C3C434E" w14:textId="2A13D66C" w:rsidR="00DE1CA0" w:rsidRDefault="007008FB">
            <w:pPr>
              <w:snapToGrid w:val="0"/>
              <w:jc w:val="center"/>
              <w:rPr>
                <w:sz w:val="18"/>
                <w:szCs w:val="18"/>
              </w:rPr>
            </w:pPr>
            <w:r>
              <w:rPr>
                <w:sz w:val="18"/>
                <w:szCs w:val="18"/>
                <w:lang w:val="es"/>
              </w:rPr>
              <w:t>07/21</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7EEEB33E" w14:textId="77777777" w:rsidR="00DE1CA0" w:rsidRDefault="00DE1CA0">
            <w:pPr>
              <w:snapToGrid w:val="0"/>
              <w:jc w:val="center"/>
              <w:rPr>
                <w:sz w:val="18"/>
                <w:szCs w:val="18"/>
              </w:rPr>
            </w:pPr>
            <w:r>
              <w:rPr>
                <w:sz w:val="18"/>
                <w:szCs w:val="18"/>
                <w:lang w:val="es"/>
              </w:rPr>
              <w:t>N</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265F3C4C" w14:textId="2A6AE543" w:rsidR="00DE1CA0" w:rsidRDefault="00165DEB">
            <w:pPr>
              <w:snapToGrid w:val="0"/>
              <w:jc w:val="center"/>
              <w:rPr>
                <w:sz w:val="18"/>
                <w:szCs w:val="18"/>
              </w:rPr>
            </w:pPr>
            <w:r>
              <w:rPr>
                <w:sz w:val="18"/>
                <w:szCs w:val="18"/>
                <w:lang w:val="es"/>
              </w:rPr>
              <w:t>0,0</w:t>
            </w:r>
            <w:r w:rsidR="00504C2F">
              <w:rPr>
                <w:sz w:val="18"/>
                <w:szCs w:val="18"/>
                <w:lang w:val="es"/>
              </w:rPr>
              <w:t>31</w:t>
            </w:r>
          </w:p>
        </w:tc>
        <w:tc>
          <w:tcPr>
            <w:tcW w:w="1358" w:type="dxa"/>
            <w:gridSpan w:val="2"/>
            <w:tcBorders>
              <w:top w:val="single" w:sz="4" w:space="0" w:color="000000"/>
              <w:left w:val="single" w:sz="4" w:space="0" w:color="000000"/>
              <w:bottom w:val="single" w:sz="4" w:space="0" w:color="000000"/>
              <w:right w:val="single" w:sz="4" w:space="0" w:color="000000"/>
            </w:tcBorders>
            <w:vAlign w:val="center"/>
            <w:hideMark/>
          </w:tcPr>
          <w:p w14:paraId="2E99034E" w14:textId="77777777" w:rsidR="00DE1CA0" w:rsidRDefault="00DE1CA0">
            <w:pPr>
              <w:snapToGrid w:val="0"/>
              <w:jc w:val="center"/>
              <w:rPr>
                <w:sz w:val="18"/>
                <w:szCs w:val="18"/>
              </w:rPr>
            </w:pPr>
            <w:r>
              <w:rPr>
                <w:sz w:val="18"/>
                <w:szCs w:val="18"/>
                <w:lang w:val="es"/>
              </w:rPr>
              <w:t>0</w:t>
            </w:r>
          </w:p>
        </w:tc>
        <w:tc>
          <w:tcPr>
            <w:tcW w:w="712" w:type="dxa"/>
            <w:tcBorders>
              <w:top w:val="single" w:sz="4" w:space="0" w:color="000000"/>
              <w:left w:val="single" w:sz="4" w:space="0" w:color="000000"/>
              <w:bottom w:val="single" w:sz="4" w:space="0" w:color="000000"/>
              <w:right w:val="single" w:sz="4" w:space="0" w:color="000000"/>
            </w:tcBorders>
            <w:vAlign w:val="center"/>
            <w:hideMark/>
          </w:tcPr>
          <w:p w14:paraId="3F209D0E" w14:textId="77777777" w:rsidR="00DE1CA0" w:rsidRDefault="00DE1CA0">
            <w:pPr>
              <w:snapToGrid w:val="0"/>
              <w:jc w:val="center"/>
              <w:rPr>
                <w:sz w:val="18"/>
                <w:szCs w:val="18"/>
              </w:rPr>
            </w:pPr>
            <w:r>
              <w:rPr>
                <w:sz w:val="18"/>
                <w:szCs w:val="18"/>
                <w:lang w:val="es"/>
              </w:rPr>
              <w:t>1.3</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6135F421" w14:textId="77777777" w:rsidR="00DE1CA0" w:rsidRDefault="00DE1CA0">
            <w:pPr>
              <w:snapToGrid w:val="0"/>
              <w:jc w:val="center"/>
              <w:rPr>
                <w:sz w:val="18"/>
                <w:szCs w:val="18"/>
              </w:rPr>
            </w:pPr>
            <w:r>
              <w:rPr>
                <w:sz w:val="18"/>
                <w:szCs w:val="18"/>
                <w:lang w:val="es"/>
              </w:rPr>
              <w:t>1.3</w:t>
            </w:r>
          </w:p>
        </w:tc>
        <w:tc>
          <w:tcPr>
            <w:tcW w:w="2610" w:type="dxa"/>
            <w:tcBorders>
              <w:top w:val="single" w:sz="4" w:space="0" w:color="000000"/>
              <w:left w:val="single" w:sz="4" w:space="0" w:color="000000"/>
              <w:bottom w:val="single" w:sz="4" w:space="0" w:color="000000"/>
              <w:right w:val="single" w:sz="4" w:space="0" w:color="000000"/>
            </w:tcBorders>
            <w:vAlign w:val="center"/>
            <w:hideMark/>
          </w:tcPr>
          <w:p w14:paraId="6DE39238" w14:textId="07E2FED5" w:rsidR="00DE1CA0" w:rsidRDefault="00DE1CA0">
            <w:pPr>
              <w:snapToGrid w:val="0"/>
              <w:jc w:val="both"/>
              <w:rPr>
                <w:sz w:val="18"/>
              </w:rPr>
            </w:pPr>
            <w:r>
              <w:rPr>
                <w:sz w:val="18"/>
                <w:lang w:val="es"/>
              </w:rPr>
              <w:t>Corrosión de los sistemas de plomería domésticos; erosión de depósitos naturales; lixiviación de conservantes de madera</w:t>
            </w:r>
          </w:p>
        </w:tc>
      </w:tr>
      <w:tr w:rsidR="00504C2F" w14:paraId="308735D6" w14:textId="77777777" w:rsidTr="00FD7C11">
        <w:trPr>
          <w:cantSplit/>
          <w:trHeight w:val="473"/>
        </w:trPr>
        <w:tc>
          <w:tcPr>
            <w:tcW w:w="1975" w:type="dxa"/>
            <w:tcBorders>
              <w:top w:val="single" w:sz="4" w:space="0" w:color="000000"/>
              <w:left w:val="single" w:sz="4" w:space="0" w:color="000000"/>
              <w:bottom w:val="single" w:sz="4" w:space="0" w:color="000000"/>
              <w:right w:val="single" w:sz="4" w:space="0" w:color="000000"/>
            </w:tcBorders>
            <w:vAlign w:val="center"/>
          </w:tcPr>
          <w:p w14:paraId="0B7F094D" w14:textId="06274AD2" w:rsidR="00504C2F" w:rsidRDefault="00504C2F">
            <w:pPr>
              <w:snapToGrid w:val="0"/>
              <w:rPr>
                <w:sz w:val="18"/>
              </w:rPr>
            </w:pPr>
            <w:r>
              <w:rPr>
                <w:sz w:val="18"/>
                <w:lang w:val="es"/>
              </w:rPr>
              <w:t xml:space="preserve">Plomo </w:t>
            </w:r>
            <w:r w:rsidR="00F162A2">
              <w:rPr>
                <w:sz w:val="18"/>
                <w:lang w:val="es"/>
              </w:rPr>
              <w:t>(agua del grifo) (ppm)</w:t>
            </w:r>
          </w:p>
        </w:tc>
        <w:tc>
          <w:tcPr>
            <w:tcW w:w="990" w:type="dxa"/>
            <w:tcBorders>
              <w:top w:val="single" w:sz="4" w:space="0" w:color="000000"/>
              <w:left w:val="single" w:sz="4" w:space="0" w:color="000000"/>
              <w:bottom w:val="single" w:sz="4" w:space="0" w:color="000000"/>
              <w:right w:val="single" w:sz="4" w:space="0" w:color="000000"/>
            </w:tcBorders>
            <w:vAlign w:val="center"/>
          </w:tcPr>
          <w:p w14:paraId="239475CA" w14:textId="73A5E114" w:rsidR="00504C2F" w:rsidRDefault="002732B9">
            <w:pPr>
              <w:snapToGrid w:val="0"/>
              <w:jc w:val="center"/>
              <w:rPr>
                <w:sz w:val="18"/>
                <w:szCs w:val="18"/>
              </w:rPr>
            </w:pPr>
            <w:r>
              <w:rPr>
                <w:sz w:val="18"/>
                <w:szCs w:val="18"/>
                <w:lang w:val="es"/>
              </w:rPr>
              <w:t>07/21</w:t>
            </w:r>
          </w:p>
        </w:tc>
        <w:tc>
          <w:tcPr>
            <w:tcW w:w="900" w:type="dxa"/>
            <w:tcBorders>
              <w:top w:val="single" w:sz="4" w:space="0" w:color="000000"/>
              <w:left w:val="single" w:sz="4" w:space="0" w:color="000000"/>
              <w:bottom w:val="single" w:sz="4" w:space="0" w:color="000000"/>
              <w:right w:val="single" w:sz="4" w:space="0" w:color="000000"/>
            </w:tcBorders>
            <w:vAlign w:val="center"/>
          </w:tcPr>
          <w:p w14:paraId="11777D4F" w14:textId="3DB8A9F6" w:rsidR="00504C2F" w:rsidRDefault="002732B9">
            <w:pPr>
              <w:snapToGrid w:val="0"/>
              <w:jc w:val="center"/>
              <w:rPr>
                <w:sz w:val="18"/>
                <w:szCs w:val="18"/>
              </w:rPr>
            </w:pPr>
            <w:r>
              <w:rPr>
                <w:sz w:val="18"/>
                <w:szCs w:val="18"/>
                <w:lang w:val="es"/>
              </w:rPr>
              <w:t>N</w:t>
            </w:r>
          </w:p>
        </w:tc>
        <w:tc>
          <w:tcPr>
            <w:tcW w:w="990" w:type="dxa"/>
            <w:tcBorders>
              <w:top w:val="single" w:sz="4" w:space="0" w:color="000000"/>
              <w:left w:val="single" w:sz="4" w:space="0" w:color="000000"/>
              <w:bottom w:val="single" w:sz="4" w:space="0" w:color="000000"/>
              <w:right w:val="single" w:sz="4" w:space="0" w:color="000000"/>
            </w:tcBorders>
            <w:vAlign w:val="center"/>
          </w:tcPr>
          <w:p w14:paraId="300EF8A5" w14:textId="33E4CFA9" w:rsidR="002732B9" w:rsidRDefault="002732B9" w:rsidP="002732B9">
            <w:pPr>
              <w:snapToGrid w:val="0"/>
              <w:rPr>
                <w:sz w:val="18"/>
                <w:szCs w:val="18"/>
              </w:rPr>
            </w:pPr>
            <w:r>
              <w:rPr>
                <w:sz w:val="18"/>
                <w:szCs w:val="18"/>
                <w:lang w:val="es"/>
              </w:rPr>
              <w:t xml:space="preserve">   0.362</w:t>
            </w:r>
          </w:p>
        </w:tc>
        <w:tc>
          <w:tcPr>
            <w:tcW w:w="1358" w:type="dxa"/>
            <w:gridSpan w:val="2"/>
            <w:tcBorders>
              <w:top w:val="single" w:sz="4" w:space="0" w:color="000000"/>
              <w:left w:val="single" w:sz="4" w:space="0" w:color="000000"/>
              <w:bottom w:val="single" w:sz="4" w:space="0" w:color="000000"/>
              <w:right w:val="single" w:sz="4" w:space="0" w:color="000000"/>
            </w:tcBorders>
            <w:vAlign w:val="center"/>
          </w:tcPr>
          <w:p w14:paraId="4965AD94" w14:textId="5E2A4D7F" w:rsidR="00504C2F" w:rsidRDefault="002732B9">
            <w:pPr>
              <w:snapToGrid w:val="0"/>
              <w:jc w:val="center"/>
              <w:rPr>
                <w:sz w:val="18"/>
                <w:szCs w:val="18"/>
              </w:rPr>
            </w:pPr>
            <w:r>
              <w:rPr>
                <w:sz w:val="18"/>
                <w:szCs w:val="18"/>
                <w:lang w:val="es"/>
              </w:rPr>
              <w:t>0</w:t>
            </w:r>
          </w:p>
        </w:tc>
        <w:tc>
          <w:tcPr>
            <w:tcW w:w="712" w:type="dxa"/>
            <w:tcBorders>
              <w:top w:val="single" w:sz="4" w:space="0" w:color="000000"/>
              <w:left w:val="single" w:sz="4" w:space="0" w:color="000000"/>
              <w:bottom w:val="single" w:sz="4" w:space="0" w:color="000000"/>
              <w:right w:val="single" w:sz="4" w:space="0" w:color="000000"/>
            </w:tcBorders>
            <w:vAlign w:val="center"/>
          </w:tcPr>
          <w:p w14:paraId="5CC0E639" w14:textId="73B8FA1A" w:rsidR="00504C2F" w:rsidRDefault="00D333C3">
            <w:pPr>
              <w:snapToGrid w:val="0"/>
              <w:jc w:val="center"/>
              <w:rPr>
                <w:sz w:val="18"/>
                <w:szCs w:val="18"/>
              </w:rPr>
            </w:pPr>
            <w:r>
              <w:rPr>
                <w:sz w:val="18"/>
                <w:szCs w:val="18"/>
                <w:lang w:val="es"/>
              </w:rPr>
              <w:t>0</w:t>
            </w:r>
          </w:p>
        </w:tc>
        <w:tc>
          <w:tcPr>
            <w:tcW w:w="900" w:type="dxa"/>
            <w:tcBorders>
              <w:top w:val="single" w:sz="4" w:space="0" w:color="000000"/>
              <w:left w:val="single" w:sz="4" w:space="0" w:color="000000"/>
              <w:bottom w:val="single" w:sz="4" w:space="0" w:color="000000"/>
              <w:right w:val="single" w:sz="4" w:space="0" w:color="000000"/>
            </w:tcBorders>
            <w:vAlign w:val="center"/>
          </w:tcPr>
          <w:p w14:paraId="6F4D0247" w14:textId="618E95A8" w:rsidR="00504C2F" w:rsidRDefault="00D333C3">
            <w:pPr>
              <w:snapToGrid w:val="0"/>
              <w:jc w:val="center"/>
              <w:rPr>
                <w:sz w:val="18"/>
                <w:szCs w:val="18"/>
              </w:rPr>
            </w:pPr>
            <w:r>
              <w:rPr>
                <w:sz w:val="18"/>
                <w:szCs w:val="18"/>
                <w:lang w:val="es"/>
              </w:rPr>
              <w:t>15</w:t>
            </w:r>
          </w:p>
        </w:tc>
        <w:tc>
          <w:tcPr>
            <w:tcW w:w="2610" w:type="dxa"/>
            <w:tcBorders>
              <w:top w:val="single" w:sz="4" w:space="0" w:color="000000"/>
              <w:left w:val="single" w:sz="4" w:space="0" w:color="000000"/>
              <w:bottom w:val="single" w:sz="4" w:space="0" w:color="000000"/>
              <w:right w:val="single" w:sz="4" w:space="0" w:color="000000"/>
            </w:tcBorders>
            <w:vAlign w:val="center"/>
          </w:tcPr>
          <w:p w14:paraId="785D5B5F" w14:textId="17CEC322" w:rsidR="00504C2F" w:rsidRDefault="00FD7C11">
            <w:pPr>
              <w:snapToGrid w:val="0"/>
              <w:jc w:val="both"/>
              <w:rPr>
                <w:sz w:val="18"/>
              </w:rPr>
            </w:pPr>
            <w:r w:rsidRPr="00313281">
              <w:rPr>
                <w:sz w:val="18"/>
                <w:lang w:val="es"/>
              </w:rPr>
              <w:t>Corrosión de los sistemas de plomería domésticos, erosión de depósitos naturales</w:t>
            </w:r>
          </w:p>
        </w:tc>
      </w:tr>
    </w:tbl>
    <w:p w14:paraId="5262BA37" w14:textId="77777777" w:rsidR="00DE1CA0" w:rsidRDefault="00DE1CA0" w:rsidP="00DE1CA0">
      <w:pPr>
        <w:rPr>
          <w:vanish/>
        </w:rPr>
      </w:pPr>
    </w:p>
    <w:p w14:paraId="308EB7AF" w14:textId="77777777" w:rsidR="00DE1CA0" w:rsidRDefault="00DE1CA0" w:rsidP="00DE1CA0">
      <w:pPr>
        <w:rPr>
          <w:vanish/>
        </w:rPr>
      </w:pPr>
    </w:p>
    <w:p w14:paraId="6E297708" w14:textId="77777777" w:rsidR="00DE1CA0" w:rsidRDefault="00DE1CA0" w:rsidP="00DE1CA0">
      <w:pPr>
        <w:rPr>
          <w:vanish/>
        </w:rPr>
      </w:pPr>
    </w:p>
    <w:p w14:paraId="47C87287" w14:textId="77777777" w:rsidR="00DE1CA0" w:rsidRDefault="00DE1CA0" w:rsidP="00DE1CA0">
      <w:pPr>
        <w:rPr>
          <w:vanish/>
        </w:rPr>
      </w:pPr>
    </w:p>
    <w:p w14:paraId="5E737A79" w14:textId="77777777" w:rsidR="00DE1CA0" w:rsidRDefault="00DE1CA0" w:rsidP="00DE1CA0">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pPr>
      <w:r>
        <w:tab/>
      </w:r>
    </w:p>
    <w:p w14:paraId="0F2E62EE" w14:textId="0517A196" w:rsidR="00DE1CA0" w:rsidRDefault="00DE1CA0" w:rsidP="00DE1CA0">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pPr>
      <w:r>
        <w:rPr>
          <w:lang w:val="es"/>
        </w:rPr>
        <w:t xml:space="preserve">Si están presentes, los niveles elevados de plomo pueden causar problemas de salud graves, especialmente para las mujeres embarazadas y los niños pequeños.  El plomo en el agua potable proviene principalmente de materiales y componentes asociados con las líneas de servicio y la plomería del hogar.  La planta de tratamiento de agua de Bowling Green es responsable de proporcionar agua potable de alta </w:t>
      </w:r>
      <w:proofErr w:type="gramStart"/>
      <w:r>
        <w:rPr>
          <w:lang w:val="es"/>
        </w:rPr>
        <w:t>calidad ,</w:t>
      </w:r>
      <w:proofErr w:type="gramEnd"/>
      <w:r>
        <w:rPr>
          <w:lang w:val="es"/>
        </w:rPr>
        <w:t xml:space="preserve"> pero no puede controlar la variedad de materiales utilizados en los componentes de plomería.  Cuando su agua ha estado sentada durante varias horas, puede minimizar la posibilidad de exposición al plomo enjuagando el grifo durante 30 segundos a 2 minutos antes de usar agua para beber o cocinar.  Si le preocupa el plomo en su agua, es posible que desee que le hagan una prueba de agua.  La información sobre el plomo en el agua potable, los métodos de prueba y los pasos que puede tomar para minimizar la exposición está disponible en la línea directa de agua potable segura o en</w:t>
      </w:r>
      <w:hyperlink r:id="rId8" w:history="1">
        <w:r w:rsidR="00D96BBB" w:rsidRPr="009D1999">
          <w:rPr>
            <w:rStyle w:val="Hyperlink"/>
            <w:lang w:val="es"/>
          </w:rPr>
          <w:t xml:space="preserve"> http://www.epa.gov/safewater/lead</w:t>
        </w:r>
      </w:hyperlink>
      <w:r>
        <w:rPr>
          <w:lang w:val="es"/>
        </w:rPr>
        <w:t>.</w:t>
      </w:r>
    </w:p>
    <w:p w14:paraId="01960F52" w14:textId="77777777" w:rsidR="00DE1CA0" w:rsidRDefault="00DE1CA0" w:rsidP="00DE1CA0">
      <w:pPr>
        <w:pStyle w:val="BodyText3"/>
        <w:jc w:val="both"/>
        <w:rPr>
          <w:i w:val="0"/>
          <w:sz w:val="20"/>
        </w:rPr>
      </w:pPr>
    </w:p>
    <w:p w14:paraId="74D65B82" w14:textId="77777777" w:rsidR="00DE1CA0" w:rsidRDefault="00DE1CA0" w:rsidP="00DE1CA0">
      <w:pPr>
        <w:pStyle w:val="BodyText3"/>
        <w:jc w:val="both"/>
        <w:rPr>
          <w:i w:val="0"/>
          <w:sz w:val="20"/>
        </w:rPr>
      </w:pPr>
      <w:r>
        <w:rPr>
          <w:i w:val="0"/>
          <w:sz w:val="20"/>
          <w:lang w:val="es"/>
        </w:rPr>
        <w:t>Las fuentes de agua potable (tanto agua del grifo como agua embotellada) incluyen ríos, lagos, arroyos, estanques, embalses, manantiales y pozos.  A medida que el agua viaja sobre la superficie de la tierra o a través del suelo, disuelve los minerales naturales y, en algunos casos, el material radiactivo, y puede recoger sustancias resultantes de la presencia de animales o de la actividad humana.</w:t>
      </w:r>
    </w:p>
    <w:p w14:paraId="5E817633" w14:textId="77777777" w:rsidR="00DE1CA0" w:rsidRDefault="00DE1CA0" w:rsidP="00DE1CA0">
      <w:pPr>
        <w:jc w:val="both"/>
      </w:pPr>
    </w:p>
    <w:p w14:paraId="6DAA660D" w14:textId="13061552" w:rsidR="00DE1CA0" w:rsidRDefault="00DE1CA0" w:rsidP="00DE1CA0">
      <w:pPr>
        <w:jc w:val="both"/>
      </w:pPr>
      <w:r>
        <w:rPr>
          <w:lang w:val="es"/>
        </w:rPr>
        <w:t>Los contaminantes que pueden estar presentes en el agua de origen incluyen:</w:t>
      </w:r>
    </w:p>
    <w:p w14:paraId="3D19FE4E" w14:textId="77777777" w:rsidR="00DE1CA0" w:rsidRDefault="00DE1CA0" w:rsidP="00DE1CA0">
      <w:pPr>
        <w:jc w:val="both"/>
      </w:pPr>
    </w:p>
    <w:p w14:paraId="293DBA4C" w14:textId="77777777" w:rsidR="00DE1CA0" w:rsidRDefault="00DE1CA0" w:rsidP="00DE1CA0">
      <w:pPr>
        <w:jc w:val="both"/>
      </w:pPr>
      <w:r>
        <w:rPr>
          <w:b/>
          <w:lang w:val="es"/>
        </w:rPr>
        <w:t xml:space="preserve">(A) </w:t>
      </w:r>
      <w:r>
        <w:rPr>
          <w:lang w:val="es"/>
        </w:rPr>
        <w:tab/>
      </w:r>
      <w:r w:rsidRPr="00165DEB">
        <w:rPr>
          <w:i/>
          <w:lang w:val="es"/>
        </w:rPr>
        <w:t>Contaminantes microbianos,</w:t>
      </w:r>
      <w:r>
        <w:rPr>
          <w:lang w:val="es"/>
        </w:rPr>
        <w:t xml:space="preserve"> como virus y bacterias, que pueden provenir del tratamiento de aguas residuales</w:t>
      </w:r>
    </w:p>
    <w:p w14:paraId="4020C5C8" w14:textId="77777777" w:rsidR="00DE1CA0" w:rsidRDefault="00DE1CA0" w:rsidP="00DE1CA0">
      <w:pPr>
        <w:jc w:val="both"/>
      </w:pPr>
      <w:r>
        <w:rPr>
          <w:lang w:val="es"/>
        </w:rPr>
        <w:lastRenderedPageBreak/>
        <w:t xml:space="preserve">              plantas, sistemas sépticos, operaciones agrícolas ganaderas y vida silvestre.</w:t>
      </w:r>
    </w:p>
    <w:p w14:paraId="44507122" w14:textId="77777777" w:rsidR="00DE1CA0" w:rsidRDefault="00DE1CA0" w:rsidP="00DE1CA0">
      <w:pPr>
        <w:ind w:left="720" w:hanging="720"/>
        <w:jc w:val="both"/>
      </w:pPr>
      <w:r>
        <w:rPr>
          <w:b/>
          <w:lang w:val="es"/>
        </w:rPr>
        <w:t xml:space="preserve">(B) </w:t>
      </w:r>
      <w:r>
        <w:rPr>
          <w:lang w:val="es"/>
        </w:rPr>
        <w:tab/>
      </w:r>
      <w:r>
        <w:rPr>
          <w:rStyle w:val="Emphasis"/>
          <w:lang w:val="es"/>
        </w:rPr>
        <w:t>Contaminantes inorgánicos,</w:t>
      </w:r>
      <w:r>
        <w:rPr>
          <w:lang w:val="es"/>
        </w:rPr>
        <w:t xml:space="preserve"> como sales y metales, que pueden ser naturales  o ser el resultado de la escorrentía de aguas pluviales urbanas, las descargas de aguas residuales industriales o domésticas, la producción de petróleo y gas, la minería o la agricultura.</w:t>
      </w:r>
    </w:p>
    <w:p w14:paraId="5D10F945" w14:textId="77777777" w:rsidR="00DE1CA0" w:rsidRDefault="00DE1CA0" w:rsidP="00DE1CA0">
      <w:pPr>
        <w:ind w:left="720" w:hanging="720"/>
        <w:jc w:val="both"/>
      </w:pPr>
      <w:r>
        <w:rPr>
          <w:b/>
          <w:lang w:val="es"/>
        </w:rPr>
        <w:t xml:space="preserve">(C) </w:t>
      </w:r>
      <w:r>
        <w:rPr>
          <w:lang w:val="es"/>
        </w:rPr>
        <w:tab/>
      </w:r>
      <w:r>
        <w:rPr>
          <w:rStyle w:val="Emphasis"/>
          <w:lang w:val="es"/>
        </w:rPr>
        <w:t>Pesticidas y herbicidas,</w:t>
      </w:r>
      <w:r>
        <w:rPr>
          <w:lang w:val="es"/>
        </w:rPr>
        <w:t xml:space="preserve"> que pueden provenir de una variedad de fuentes, como la agricultura, la escorrentía de aguas pluviales urbanas y los usos residenciales.</w:t>
      </w:r>
    </w:p>
    <w:p w14:paraId="6F37B6B0" w14:textId="77777777" w:rsidR="00DE1CA0" w:rsidRDefault="00DE1CA0" w:rsidP="00DE1CA0">
      <w:pPr>
        <w:ind w:left="720" w:hanging="720"/>
        <w:jc w:val="both"/>
      </w:pPr>
      <w:r>
        <w:rPr>
          <w:b/>
          <w:lang w:val="es"/>
        </w:rPr>
        <w:t xml:space="preserve">(D) </w:t>
      </w:r>
      <w:r>
        <w:rPr>
          <w:lang w:val="es"/>
        </w:rPr>
        <w:tab/>
      </w:r>
      <w:r>
        <w:rPr>
          <w:rStyle w:val="Emphasis"/>
          <w:lang w:val="es"/>
        </w:rPr>
        <w:t xml:space="preserve">Contaminantes químicos orgánicos, incluidos </w:t>
      </w:r>
      <w:r>
        <w:rPr>
          <w:lang w:val="es"/>
        </w:rPr>
        <w:t>los productos químicos orgánicos sintéticos y volátiles, que son subproductos de los procesos industriales y la producción de petróleo, y también pueden provenir de estaciones de servicio, escorrentía de aguas pluviales urbanas y sistemas sépticos.</w:t>
      </w:r>
    </w:p>
    <w:p w14:paraId="476869FC" w14:textId="77777777" w:rsidR="00DE1CA0" w:rsidRDefault="00DE1CA0" w:rsidP="00DE1CA0">
      <w:pPr>
        <w:ind w:left="720" w:hanging="720"/>
        <w:jc w:val="both"/>
      </w:pPr>
      <w:r>
        <w:rPr>
          <w:b/>
          <w:lang w:val="es"/>
        </w:rPr>
        <w:t xml:space="preserve">(E) </w:t>
      </w:r>
      <w:r>
        <w:rPr>
          <w:lang w:val="es"/>
        </w:rPr>
        <w:tab/>
      </w:r>
      <w:r>
        <w:rPr>
          <w:rStyle w:val="Emphasis"/>
          <w:lang w:val="es"/>
        </w:rPr>
        <w:t xml:space="preserve">Contaminantes radiactivos, </w:t>
      </w:r>
      <w:r>
        <w:rPr>
          <w:lang w:val="es"/>
        </w:rPr>
        <w:t>que pueden ser de origen natural o ser el resultado de la producción de petróleo y gas y las actividades mineras.</w:t>
      </w:r>
    </w:p>
    <w:p w14:paraId="0BB6BFB1" w14:textId="77777777" w:rsidR="00DE1CA0" w:rsidRDefault="00DE1CA0" w:rsidP="00DE1CA0">
      <w:pPr>
        <w:jc w:val="both"/>
      </w:pPr>
    </w:p>
    <w:p w14:paraId="7CE4A64A" w14:textId="77777777" w:rsidR="00DE1CA0" w:rsidRDefault="00165DEB" w:rsidP="00DE1CA0">
      <w:pPr>
        <w:pStyle w:val="BodyText3"/>
        <w:jc w:val="both"/>
        <w:rPr>
          <w:i w:val="0"/>
          <w:sz w:val="20"/>
        </w:rPr>
      </w:pPr>
      <w:r>
        <w:rPr>
          <w:i w:val="0"/>
          <w:sz w:val="20"/>
          <w:lang w:val="es"/>
        </w:rPr>
        <w:t>Para</w:t>
      </w:r>
      <w:r w:rsidR="00DE1CA0">
        <w:rPr>
          <w:i w:val="0"/>
          <w:sz w:val="20"/>
          <w:lang w:val="es"/>
        </w:rPr>
        <w:t>garantizar que el agua del grifo sea segura para beber, la EPA prescribe regulaciones, que limitan la cantidad de ciertos contaminantes en el agua proporcionada por los sistemas públicos de agua.  Las regulaciones de la Administración de Alimentos y Medicamentos (FDA) establecen límites para los contaminantes en el agua embotellada, que debe proporcionar la misma protección para la salud pública.</w:t>
      </w:r>
    </w:p>
    <w:p w14:paraId="6ACC5F8A" w14:textId="77777777" w:rsidR="00DE1CA0" w:rsidRDefault="00DE1CA0" w:rsidP="00DE1CA0">
      <w:pPr>
        <w:pStyle w:val="BodyText3"/>
        <w:jc w:val="both"/>
        <w:rPr>
          <w:i w:val="0"/>
          <w:sz w:val="20"/>
        </w:rPr>
      </w:pPr>
    </w:p>
    <w:p w14:paraId="3D7A184F" w14:textId="77777777" w:rsidR="00DE1CA0" w:rsidRDefault="00DE1CA0" w:rsidP="00DE1CA0">
      <w:pPr>
        <w:pStyle w:val="BodyText3"/>
        <w:jc w:val="both"/>
        <w:rPr>
          <w:i w:val="0"/>
          <w:sz w:val="20"/>
        </w:rPr>
      </w:pPr>
      <w:r>
        <w:rPr>
          <w:i w:val="0"/>
          <w:sz w:val="20"/>
          <w:lang w:val="es"/>
        </w:rPr>
        <w:t>Se puede esperar razonablemente que el agua potable, incluida el agua embotellada, contenga al menos pequeñas cantidades de algunos contaminantes.  La presencia de contaminantes no indica necesariamente que el agua represente un riesgo para la salud.  Se puede obtener más información sobre los contaminantes y los posibles efectos en la salud llamando a la línea directa de agua potable segura de la EPA al 1-800-426-4791.</w:t>
      </w:r>
    </w:p>
    <w:p w14:paraId="10036D30" w14:textId="77777777" w:rsidR="00DE1CA0" w:rsidRDefault="00DE1CA0" w:rsidP="00DE1CA0">
      <w:pPr>
        <w:pStyle w:val="BodyText3"/>
        <w:jc w:val="both"/>
        <w:rPr>
          <w:i w:val="0"/>
          <w:sz w:val="20"/>
        </w:rPr>
      </w:pPr>
    </w:p>
    <w:p w14:paraId="6E807FC9" w14:textId="77777777" w:rsidR="00DE1CA0" w:rsidRDefault="00DE1CA0" w:rsidP="00DE1CA0">
      <w:pPr>
        <w:pStyle w:val="BodyText3"/>
        <w:jc w:val="both"/>
        <w:rPr>
          <w:i w:val="0"/>
          <w:sz w:val="20"/>
        </w:rPr>
      </w:pPr>
      <w:r>
        <w:rPr>
          <w:i w:val="0"/>
          <w:sz w:val="20"/>
          <w:lang w:val="es"/>
        </w:rPr>
        <w:t>En nuestros esfuerzos continuos para mantener un suministro de agua seguro y confiable, puede ser necesario realizar mejoras en su sistema de agua. Los costos de estas mejoras pueden reflejarse en la estructura de tarifas. Gracias por su comprensión y por permitirnos continuar brindando a su familia agua limpia y de calidad este año.</w:t>
      </w:r>
    </w:p>
    <w:p w14:paraId="52B32872" w14:textId="77777777" w:rsidR="00DE1CA0" w:rsidRDefault="00DE1CA0" w:rsidP="00DE1CA0">
      <w:pPr>
        <w:jc w:val="both"/>
        <w:rPr>
          <w:b/>
        </w:rPr>
      </w:pPr>
    </w:p>
    <w:p w14:paraId="3E2382F1" w14:textId="3470165B" w:rsidR="00DE1CA0" w:rsidRDefault="00DE1CA0" w:rsidP="00DE1CA0">
      <w:pPr>
        <w:pStyle w:val="BodyText3"/>
        <w:jc w:val="both"/>
        <w:rPr>
          <w:i w:val="0"/>
          <w:sz w:val="20"/>
        </w:rPr>
      </w:pPr>
      <w:r>
        <w:rPr>
          <w:i w:val="0"/>
          <w:sz w:val="20"/>
          <w:lang w:val="es"/>
        </w:rPr>
        <w:t>Algunas personas pueden ser más vulnerables a los contaminantes en el agua potable que la población general. Las personas inmunocomprometidas, como las personas con cáncer que se someten a quimioterapia, las personas que se han sometido a trasplantes de órganos, las personas con VIH / SIDA u otros trastornos del sistema inmunológico, algunos ancianos y los bebés pueden estar particularmente en riesgo de infecciones. Estas personas deben buscar asesoramiento sobre el agua potable de sus proveedores de atención médica. Las pautas de epa/C</w:t>
      </w:r>
      <w:r w:rsidR="00D96BBB">
        <w:rPr>
          <w:i w:val="0"/>
          <w:sz w:val="20"/>
          <w:lang w:val="es"/>
        </w:rPr>
        <w:t>para el Control de Enfermedades (C</w:t>
      </w:r>
      <w:r>
        <w:rPr>
          <w:i w:val="0"/>
          <w:sz w:val="20"/>
          <w:lang w:val="es"/>
        </w:rPr>
        <w:t>DC</w:t>
      </w:r>
      <w:r w:rsidR="00D96BBB">
        <w:rPr>
          <w:i w:val="0"/>
          <w:sz w:val="20"/>
          <w:lang w:val="es"/>
        </w:rPr>
        <w:t>)</w:t>
      </w:r>
      <w:r>
        <w:rPr>
          <w:i w:val="0"/>
          <w:sz w:val="20"/>
          <w:lang w:val="es"/>
        </w:rPr>
        <w:t xml:space="preserve"> sobre los medios apropiados para disminuir el riesgo de infección por Cryptosporidium y otros contaminantes microbiológicos están disponibles en la Línea Directa de Agua Potable Segura (800-426-4791).</w:t>
      </w:r>
    </w:p>
    <w:p w14:paraId="042DCD9A" w14:textId="77777777" w:rsidR="00DF44EC" w:rsidRDefault="00DF44EC" w:rsidP="00DB10B2"/>
    <w:p w14:paraId="19DD43AA" w14:textId="7BC06594" w:rsidR="00DB10B2" w:rsidRPr="00AD7DB6" w:rsidRDefault="00DB10B2" w:rsidP="00DB10B2">
      <w:pPr>
        <w:rPr>
          <w:i/>
          <w:iCs/>
          <w:lang w:eastAsia="en-US"/>
        </w:rPr>
      </w:pPr>
      <w:r w:rsidRPr="001C7903">
        <w:rPr>
          <w:lang w:val="es"/>
        </w:rPr>
        <w:t>"</w:t>
      </w:r>
      <w:r w:rsidRPr="001C7903">
        <w:rPr>
          <w:i/>
          <w:iCs/>
          <w:lang w:val="es"/>
        </w:rPr>
        <w:t>No completamos el muestreo requerido para contaminantes orgánicos sintéticos (SOC) a tiempo y, por lo tanto, violamos los requisitos de monitoreo e informes. Debido a que no tomamos las muestras requeridas durante el período de monitoreo trienal de enero de 2019 a diciembre de 2021, no sabíamos si los contaminantes estaban presentes en su agua potable, y no podemos decirle si su salud estaba en riesgo durante ese tiempo. Completamos todas las acciones correctivas para abordar esta violación, incluida la emisión de un aviso público. El muestreo de maquillaje se realizó el 31 de enero</w:t>
      </w:r>
      <w:r w:rsidR="006E1536" w:rsidRPr="001C7903">
        <w:rPr>
          <w:i/>
          <w:iCs/>
          <w:vertAlign w:val="superscript"/>
          <w:lang w:val="es"/>
        </w:rPr>
        <w:t>de</w:t>
      </w:r>
      <w:r>
        <w:rPr>
          <w:lang w:val="es"/>
        </w:rPr>
        <w:t xml:space="preserve"> </w:t>
      </w:r>
      <w:r w:rsidR="001C7903" w:rsidRPr="001C7903">
        <w:rPr>
          <w:i/>
          <w:iCs/>
          <w:lang w:val="es"/>
        </w:rPr>
        <w:t>2022</w:t>
      </w:r>
    </w:p>
    <w:p w14:paraId="58797F96" w14:textId="7E6508EB" w:rsidR="00DB10B2" w:rsidRDefault="00DB10B2" w:rsidP="00DB10B2">
      <w:pPr>
        <w:rPr>
          <w:sz w:val="24"/>
          <w:szCs w:val="24"/>
        </w:rPr>
      </w:pPr>
    </w:p>
    <w:p w14:paraId="0514269F" w14:textId="77777777" w:rsidR="002314C1" w:rsidRDefault="002314C1" w:rsidP="00DB10B2">
      <w:pPr>
        <w:rPr>
          <w:sz w:val="24"/>
          <w:szCs w:val="24"/>
        </w:rPr>
      </w:pPr>
    </w:p>
    <w:p w14:paraId="7363361C" w14:textId="77777777" w:rsidR="00DE1CA0" w:rsidRDefault="00DE1CA0" w:rsidP="00DE1CA0">
      <w:pPr>
        <w:keepNext/>
        <w:keepLines/>
        <w:jc w:val="both"/>
      </w:pPr>
      <w:r>
        <w:tab/>
      </w:r>
    </w:p>
    <w:p w14:paraId="401FB2DA" w14:textId="77777777" w:rsidR="00DE1CA0" w:rsidRDefault="00DE1CA0" w:rsidP="00DE1CA0">
      <w:pPr>
        <w:keepNext/>
        <w:keepLines/>
        <w:jc w:val="both"/>
      </w:pPr>
      <w:r>
        <w:rPr>
          <w:lang w:val="es"/>
        </w:rPr>
        <w:t>En la ciudad de Bowling Green estamos comprometidos a asegurar la calidad de su agua y trabajamos todo el día para proporcionar agua de alta calidad a cada grifo. Nos gustaría que entendiera los esfuerzos que hacemos para mejorar continuamente el proceso de tratamiento de agua y proteger nuestros recursos hídricos. Pedimos que todos nuestros clientes nos ayuden a proteger nuestras fuentes de agua, que son el corazón de nuestra comunidad, nuestra forma de vida y el futuro de nuestros hijos.</w:t>
      </w:r>
    </w:p>
    <w:p w14:paraId="1B1D3794" w14:textId="77777777" w:rsidR="00DE1CA0" w:rsidRDefault="00DE1CA0" w:rsidP="00DE1CA0">
      <w:pPr>
        <w:keepNext/>
        <w:keepLines/>
        <w:jc w:val="both"/>
      </w:pPr>
    </w:p>
    <w:p w14:paraId="4AE9EF33" w14:textId="77777777" w:rsidR="00DE1CA0" w:rsidRDefault="00DE1CA0" w:rsidP="00DE1CA0">
      <w:pPr>
        <w:keepNext/>
        <w:keepLines/>
        <w:jc w:val="both"/>
      </w:pPr>
      <w:r>
        <w:rPr>
          <w:lang w:val="es"/>
        </w:rPr>
        <w:t>Si tiene alguna pregunta o inquietud sobre la información proporcionada, no dude en llamar a cualquiera de los números enumerados.</w:t>
      </w:r>
    </w:p>
    <w:p w14:paraId="0B8A477B" w14:textId="6D6E8E43" w:rsidR="0079106A" w:rsidRDefault="0079106A"/>
    <w:sectPr w:rsidR="0079106A" w:rsidSect="00312E27">
      <w:pgSz w:w="12240" w:h="15840"/>
      <w:pgMar w:top="1440" w:right="99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rPr>
        <w:rFonts w:cs="Times New Roman"/>
      </w:rPr>
    </w:lvl>
    <w:lvl w:ilvl="1">
      <w:start w:val="1"/>
      <w:numFmt w:val="none"/>
      <w:pStyle w:val="Heading2"/>
      <w:lvlText w:val=""/>
      <w:lvlJc w:val="left"/>
      <w:pPr>
        <w:tabs>
          <w:tab w:val="num" w:pos="576"/>
        </w:tabs>
        <w:ind w:left="576" w:hanging="576"/>
      </w:pPr>
      <w:rPr>
        <w:rFonts w:cs="Times New Roman"/>
      </w:rPr>
    </w:lvl>
    <w:lvl w:ilvl="2">
      <w:start w:val="1"/>
      <w:numFmt w:val="none"/>
      <w:pStyle w:val="Heading3"/>
      <w:lvlText w:val=""/>
      <w:lvlJc w:val="left"/>
      <w:pPr>
        <w:tabs>
          <w:tab w:val="num" w:pos="720"/>
        </w:tabs>
        <w:ind w:left="720" w:hanging="720"/>
      </w:pPr>
      <w:rPr>
        <w:rFonts w:cs="Times New Roman"/>
      </w:rPr>
    </w:lvl>
    <w:lvl w:ilvl="3">
      <w:start w:val="1"/>
      <w:numFmt w:val="none"/>
      <w:pStyle w:val="Heading4"/>
      <w:lvlText w:val=""/>
      <w:lvlJc w:val="left"/>
      <w:pPr>
        <w:tabs>
          <w:tab w:val="num" w:pos="864"/>
        </w:tabs>
        <w:ind w:left="864" w:hanging="864"/>
      </w:pPr>
      <w:rPr>
        <w:rFonts w:cs="Times New Roman"/>
      </w:rPr>
    </w:lvl>
    <w:lvl w:ilvl="4">
      <w:start w:val="1"/>
      <w:numFmt w:val="none"/>
      <w:pStyle w:val="Heading5"/>
      <w:lvlText w:val=""/>
      <w:lvlJc w:val="left"/>
      <w:pPr>
        <w:tabs>
          <w:tab w:val="num" w:pos="1008"/>
        </w:tabs>
        <w:ind w:left="1008" w:hanging="1008"/>
      </w:pPr>
      <w:rPr>
        <w:rFonts w:cs="Times New Roman"/>
      </w:rPr>
    </w:lvl>
    <w:lvl w:ilvl="5">
      <w:start w:val="1"/>
      <w:numFmt w:val="none"/>
      <w:pStyle w:val="Heading6"/>
      <w:lvlText w:val=""/>
      <w:lvlJc w:val="left"/>
      <w:pPr>
        <w:tabs>
          <w:tab w:val="num" w:pos="1152"/>
        </w:tabs>
        <w:ind w:left="1152" w:hanging="1152"/>
      </w:pPr>
      <w:rPr>
        <w:rFonts w:cs="Times New Roman"/>
      </w:rPr>
    </w:lvl>
    <w:lvl w:ilvl="6">
      <w:start w:val="1"/>
      <w:numFmt w:val="none"/>
      <w:pStyle w:val="Heading7"/>
      <w:lvlText w:val=""/>
      <w:lvlJc w:val="left"/>
      <w:pPr>
        <w:tabs>
          <w:tab w:val="num" w:pos="1296"/>
        </w:tabs>
        <w:ind w:left="1296" w:hanging="1296"/>
      </w:pPr>
      <w:rPr>
        <w:rFonts w:cs="Times New Roman"/>
      </w:rPr>
    </w:lvl>
    <w:lvl w:ilvl="7">
      <w:start w:val="1"/>
      <w:numFmt w:val="none"/>
      <w:pStyle w:val="Heading8"/>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CA0"/>
    <w:rsid w:val="00040C7E"/>
    <w:rsid w:val="00072BFE"/>
    <w:rsid w:val="000A5E3F"/>
    <w:rsid w:val="000B2F3F"/>
    <w:rsid w:val="00154506"/>
    <w:rsid w:val="001549CA"/>
    <w:rsid w:val="00165DEB"/>
    <w:rsid w:val="001A6E0F"/>
    <w:rsid w:val="001C7903"/>
    <w:rsid w:val="002044DD"/>
    <w:rsid w:val="00211439"/>
    <w:rsid w:val="002314C1"/>
    <w:rsid w:val="002732B9"/>
    <w:rsid w:val="002A48FD"/>
    <w:rsid w:val="002E5326"/>
    <w:rsid w:val="003040F3"/>
    <w:rsid w:val="00306127"/>
    <w:rsid w:val="00312E27"/>
    <w:rsid w:val="00315479"/>
    <w:rsid w:val="003608CA"/>
    <w:rsid w:val="003835A3"/>
    <w:rsid w:val="00394A4E"/>
    <w:rsid w:val="004845B3"/>
    <w:rsid w:val="004A1B31"/>
    <w:rsid w:val="004C2952"/>
    <w:rsid w:val="004C5510"/>
    <w:rsid w:val="004E1CB3"/>
    <w:rsid w:val="004E2B07"/>
    <w:rsid w:val="004E4045"/>
    <w:rsid w:val="00504C2F"/>
    <w:rsid w:val="00506CBA"/>
    <w:rsid w:val="00570238"/>
    <w:rsid w:val="00571F82"/>
    <w:rsid w:val="00580318"/>
    <w:rsid w:val="00591924"/>
    <w:rsid w:val="005A4233"/>
    <w:rsid w:val="005C4F61"/>
    <w:rsid w:val="005D1ABF"/>
    <w:rsid w:val="005F6A3F"/>
    <w:rsid w:val="00616D13"/>
    <w:rsid w:val="00695643"/>
    <w:rsid w:val="006D0021"/>
    <w:rsid w:val="006E1536"/>
    <w:rsid w:val="007008FB"/>
    <w:rsid w:val="00711960"/>
    <w:rsid w:val="00721E92"/>
    <w:rsid w:val="00731FC6"/>
    <w:rsid w:val="0079106A"/>
    <w:rsid w:val="0079312A"/>
    <w:rsid w:val="007B4ECB"/>
    <w:rsid w:val="007D740D"/>
    <w:rsid w:val="0080044E"/>
    <w:rsid w:val="00812B2B"/>
    <w:rsid w:val="00840E77"/>
    <w:rsid w:val="00906BAB"/>
    <w:rsid w:val="009153CD"/>
    <w:rsid w:val="00927699"/>
    <w:rsid w:val="00935FBA"/>
    <w:rsid w:val="009641CC"/>
    <w:rsid w:val="00965995"/>
    <w:rsid w:val="00994003"/>
    <w:rsid w:val="009A76F7"/>
    <w:rsid w:val="009D088F"/>
    <w:rsid w:val="00A15AD1"/>
    <w:rsid w:val="00A22B25"/>
    <w:rsid w:val="00A421CD"/>
    <w:rsid w:val="00A76927"/>
    <w:rsid w:val="00A825B2"/>
    <w:rsid w:val="00A943DC"/>
    <w:rsid w:val="00AB32A6"/>
    <w:rsid w:val="00AD7DB6"/>
    <w:rsid w:val="00AF6AF9"/>
    <w:rsid w:val="00B02F62"/>
    <w:rsid w:val="00B0741D"/>
    <w:rsid w:val="00B223ED"/>
    <w:rsid w:val="00B57C81"/>
    <w:rsid w:val="00BB3C42"/>
    <w:rsid w:val="00BB47EB"/>
    <w:rsid w:val="00BF0237"/>
    <w:rsid w:val="00C57F62"/>
    <w:rsid w:val="00C74C4C"/>
    <w:rsid w:val="00CD7FD1"/>
    <w:rsid w:val="00CE085A"/>
    <w:rsid w:val="00CE39E6"/>
    <w:rsid w:val="00CF46E5"/>
    <w:rsid w:val="00CF6AD0"/>
    <w:rsid w:val="00D049B6"/>
    <w:rsid w:val="00D333C3"/>
    <w:rsid w:val="00D419CA"/>
    <w:rsid w:val="00D96BBB"/>
    <w:rsid w:val="00DB10B2"/>
    <w:rsid w:val="00DB50C4"/>
    <w:rsid w:val="00DE1CA0"/>
    <w:rsid w:val="00DF44EC"/>
    <w:rsid w:val="00E3371C"/>
    <w:rsid w:val="00E43253"/>
    <w:rsid w:val="00E75780"/>
    <w:rsid w:val="00E76AE4"/>
    <w:rsid w:val="00E87E2D"/>
    <w:rsid w:val="00EA1F6A"/>
    <w:rsid w:val="00EE756B"/>
    <w:rsid w:val="00F02F6E"/>
    <w:rsid w:val="00F162A2"/>
    <w:rsid w:val="00F221F0"/>
    <w:rsid w:val="00F63DBE"/>
    <w:rsid w:val="00F67F03"/>
    <w:rsid w:val="00F824E1"/>
    <w:rsid w:val="00FB4A11"/>
    <w:rsid w:val="00FB7E24"/>
    <w:rsid w:val="00FD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4BCAE"/>
  <w15:chartTrackingRefBased/>
  <w15:docId w15:val="{6CB87CEA-DFF0-48DB-B522-36E14000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CA0"/>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uiPriority w:val="9"/>
    <w:qFormat/>
    <w:rsid w:val="00DE1CA0"/>
    <w:pPr>
      <w:keepNext/>
      <w:widowControl w:val="0"/>
      <w:numPr>
        <w:numId w:val="1"/>
      </w:numPr>
      <w:spacing w:before="240" w:after="60"/>
      <w:outlineLvl w:val="0"/>
    </w:pPr>
    <w:rPr>
      <w:rFonts w:ascii="Arial" w:hAnsi="Arial"/>
      <w:b/>
      <w:kern w:val="2"/>
      <w:sz w:val="28"/>
    </w:rPr>
  </w:style>
  <w:style w:type="paragraph" w:styleId="Heading2">
    <w:name w:val="heading 2"/>
    <w:basedOn w:val="Normal"/>
    <w:next w:val="Normal"/>
    <w:link w:val="Heading2Char"/>
    <w:uiPriority w:val="9"/>
    <w:semiHidden/>
    <w:unhideWhenUsed/>
    <w:qFormat/>
    <w:rsid w:val="00DE1CA0"/>
    <w:pPr>
      <w:keepNext/>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outlineLvl w:val="1"/>
    </w:pPr>
    <w:rPr>
      <w:sz w:val="24"/>
    </w:rPr>
  </w:style>
  <w:style w:type="paragraph" w:styleId="Heading3">
    <w:name w:val="heading 3"/>
    <w:basedOn w:val="Normal"/>
    <w:next w:val="Normal"/>
    <w:link w:val="Heading3Char"/>
    <w:uiPriority w:val="9"/>
    <w:semiHidden/>
    <w:unhideWhenUsed/>
    <w:qFormat/>
    <w:rsid w:val="00DE1CA0"/>
    <w:pPr>
      <w:keepNext/>
      <w:widowControl w:val="0"/>
      <w:numPr>
        <w:ilvl w:val="2"/>
        <w:numId w:val="1"/>
      </w:numPr>
      <w:spacing w:before="240" w:after="60"/>
      <w:outlineLvl w:val="2"/>
    </w:pPr>
    <w:rPr>
      <w:rFonts w:ascii="Arial" w:hAnsi="Arial"/>
      <w:sz w:val="24"/>
    </w:rPr>
  </w:style>
  <w:style w:type="paragraph" w:styleId="Heading4">
    <w:name w:val="heading 4"/>
    <w:basedOn w:val="Normal"/>
    <w:next w:val="Normal"/>
    <w:link w:val="Heading4Char"/>
    <w:uiPriority w:val="9"/>
    <w:semiHidden/>
    <w:unhideWhenUsed/>
    <w:qFormat/>
    <w:rsid w:val="00DE1CA0"/>
    <w:pPr>
      <w:keepNext/>
      <w:numPr>
        <w:ilvl w:val="3"/>
        <w:numId w:val="1"/>
      </w:num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3"/>
    </w:pPr>
    <w:rPr>
      <w:b/>
      <w:sz w:val="36"/>
    </w:rPr>
  </w:style>
  <w:style w:type="paragraph" w:styleId="Heading5">
    <w:name w:val="heading 5"/>
    <w:basedOn w:val="Normal"/>
    <w:next w:val="Normal"/>
    <w:link w:val="Heading5Char"/>
    <w:uiPriority w:val="9"/>
    <w:semiHidden/>
    <w:unhideWhenUsed/>
    <w:qFormat/>
    <w:rsid w:val="00DE1CA0"/>
    <w:pPr>
      <w:keepNext/>
      <w:numPr>
        <w:ilvl w:val="4"/>
        <w:numId w:val="1"/>
      </w:numPr>
      <w:outlineLvl w:val="4"/>
    </w:pPr>
    <w:rPr>
      <w:b/>
      <w:sz w:val="16"/>
    </w:rPr>
  </w:style>
  <w:style w:type="paragraph" w:styleId="Heading6">
    <w:name w:val="heading 6"/>
    <w:basedOn w:val="Normal"/>
    <w:next w:val="Normal"/>
    <w:link w:val="Heading6Char"/>
    <w:uiPriority w:val="9"/>
    <w:semiHidden/>
    <w:unhideWhenUsed/>
    <w:qFormat/>
    <w:rsid w:val="00DE1CA0"/>
    <w:pPr>
      <w:keepNext/>
      <w:keepLines/>
      <w:numPr>
        <w:ilvl w:val="5"/>
        <w:numId w:val="1"/>
      </w:numPr>
      <w:jc w:val="center"/>
      <w:outlineLvl w:val="5"/>
    </w:pPr>
    <w:rPr>
      <w:b/>
      <w:sz w:val="36"/>
    </w:rPr>
  </w:style>
  <w:style w:type="paragraph" w:styleId="Heading7">
    <w:name w:val="heading 7"/>
    <w:basedOn w:val="Normal"/>
    <w:next w:val="Normal"/>
    <w:link w:val="Heading7Char"/>
    <w:uiPriority w:val="9"/>
    <w:semiHidden/>
    <w:unhideWhenUsed/>
    <w:qFormat/>
    <w:rsid w:val="00DE1CA0"/>
    <w:pPr>
      <w:keepNext/>
      <w:keepLines/>
      <w:pageBreakBefore/>
      <w:numPr>
        <w:ilvl w:val="6"/>
        <w:numId w:val="1"/>
      </w:numPr>
      <w:pBdr>
        <w:top w:val="single" w:sz="4" w:space="1" w:color="000000"/>
        <w:left w:val="single" w:sz="4" w:space="4" w:color="000000"/>
        <w:bottom w:val="single" w:sz="4" w:space="1" w:color="000000"/>
        <w:right w:val="single" w:sz="4" w:space="4" w:color="000000"/>
      </w:pBdr>
      <w:shd w:val="clear" w:color="auto" w:fill="CCCCCC"/>
      <w:tabs>
        <w:tab w:val="left" w:pos="-90"/>
        <w:tab w:val="left" w:pos="2070"/>
        <w:tab w:val="left" w:pos="3870"/>
        <w:tab w:val="left" w:pos="5670"/>
        <w:tab w:val="left" w:pos="7830"/>
        <w:tab w:val="left" w:pos="8550"/>
        <w:tab w:val="left" w:pos="9270"/>
      </w:tabs>
      <w:jc w:val="center"/>
      <w:outlineLvl w:val="6"/>
    </w:pPr>
    <w:rPr>
      <w:b/>
      <w:sz w:val="32"/>
    </w:rPr>
  </w:style>
  <w:style w:type="paragraph" w:styleId="Heading8">
    <w:name w:val="heading 8"/>
    <w:basedOn w:val="Normal"/>
    <w:next w:val="Normal"/>
    <w:link w:val="Heading8Char"/>
    <w:uiPriority w:val="9"/>
    <w:semiHidden/>
    <w:unhideWhenUsed/>
    <w:qFormat/>
    <w:rsid w:val="00DE1CA0"/>
    <w:pPr>
      <w:keepNext/>
      <w:numPr>
        <w:ilvl w:val="7"/>
        <w:numId w:val="1"/>
      </w:numPr>
      <w:pBdr>
        <w:top w:val="single" w:sz="4" w:space="1" w:color="C0C0C0"/>
        <w:left w:val="single" w:sz="4" w:space="4" w:color="C0C0C0"/>
        <w:bottom w:val="single" w:sz="4" w:space="1" w:color="C0C0C0"/>
        <w:right w:val="single" w:sz="4" w:space="4" w:color="C0C0C0"/>
      </w:pBdr>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CA0"/>
    <w:rPr>
      <w:rFonts w:ascii="Arial" w:eastAsia="Times New Roman" w:hAnsi="Arial" w:cs="Times New Roman"/>
      <w:b/>
      <w:kern w:val="2"/>
      <w:sz w:val="28"/>
      <w:szCs w:val="20"/>
      <w:lang w:eastAsia="ar-SA"/>
    </w:rPr>
  </w:style>
  <w:style w:type="character" w:customStyle="1" w:styleId="Heading2Char">
    <w:name w:val="Heading 2 Char"/>
    <w:basedOn w:val="DefaultParagraphFont"/>
    <w:link w:val="Heading2"/>
    <w:uiPriority w:val="9"/>
    <w:semiHidden/>
    <w:rsid w:val="00DE1CA0"/>
    <w:rPr>
      <w:rFonts w:ascii="Times New Roman" w:eastAsia="Times New Roman" w:hAnsi="Times New Roman" w:cs="Times New Roman"/>
      <w:sz w:val="24"/>
      <w:szCs w:val="20"/>
      <w:lang w:eastAsia="ar-SA"/>
    </w:rPr>
  </w:style>
  <w:style w:type="character" w:customStyle="1" w:styleId="Heading3Char">
    <w:name w:val="Heading 3 Char"/>
    <w:basedOn w:val="DefaultParagraphFont"/>
    <w:link w:val="Heading3"/>
    <w:uiPriority w:val="9"/>
    <w:semiHidden/>
    <w:rsid w:val="00DE1CA0"/>
    <w:rPr>
      <w:rFonts w:ascii="Arial" w:eastAsia="Times New Roman" w:hAnsi="Arial" w:cs="Times New Roman"/>
      <w:sz w:val="24"/>
      <w:szCs w:val="20"/>
      <w:lang w:eastAsia="ar-SA"/>
    </w:rPr>
  </w:style>
  <w:style w:type="character" w:customStyle="1" w:styleId="Heading4Char">
    <w:name w:val="Heading 4 Char"/>
    <w:basedOn w:val="DefaultParagraphFont"/>
    <w:link w:val="Heading4"/>
    <w:uiPriority w:val="9"/>
    <w:semiHidden/>
    <w:rsid w:val="00DE1CA0"/>
    <w:rPr>
      <w:rFonts w:ascii="Times New Roman" w:eastAsia="Times New Roman" w:hAnsi="Times New Roman" w:cs="Times New Roman"/>
      <w:b/>
      <w:sz w:val="36"/>
      <w:szCs w:val="20"/>
      <w:lang w:eastAsia="ar-SA"/>
    </w:rPr>
  </w:style>
  <w:style w:type="character" w:customStyle="1" w:styleId="Heading5Char">
    <w:name w:val="Heading 5 Char"/>
    <w:basedOn w:val="DefaultParagraphFont"/>
    <w:link w:val="Heading5"/>
    <w:uiPriority w:val="9"/>
    <w:semiHidden/>
    <w:rsid w:val="00DE1CA0"/>
    <w:rPr>
      <w:rFonts w:ascii="Times New Roman" w:eastAsia="Times New Roman" w:hAnsi="Times New Roman" w:cs="Times New Roman"/>
      <w:b/>
      <w:sz w:val="16"/>
      <w:szCs w:val="20"/>
      <w:lang w:eastAsia="ar-SA"/>
    </w:rPr>
  </w:style>
  <w:style w:type="character" w:customStyle="1" w:styleId="Heading6Char">
    <w:name w:val="Heading 6 Char"/>
    <w:basedOn w:val="DefaultParagraphFont"/>
    <w:link w:val="Heading6"/>
    <w:uiPriority w:val="9"/>
    <w:semiHidden/>
    <w:rsid w:val="00DE1CA0"/>
    <w:rPr>
      <w:rFonts w:ascii="Times New Roman" w:eastAsia="Times New Roman" w:hAnsi="Times New Roman" w:cs="Times New Roman"/>
      <w:b/>
      <w:sz w:val="36"/>
      <w:szCs w:val="20"/>
      <w:lang w:eastAsia="ar-SA"/>
    </w:rPr>
  </w:style>
  <w:style w:type="character" w:customStyle="1" w:styleId="Heading7Char">
    <w:name w:val="Heading 7 Char"/>
    <w:basedOn w:val="DefaultParagraphFont"/>
    <w:link w:val="Heading7"/>
    <w:uiPriority w:val="9"/>
    <w:semiHidden/>
    <w:rsid w:val="00DE1CA0"/>
    <w:rPr>
      <w:rFonts w:ascii="Times New Roman" w:eastAsia="Times New Roman" w:hAnsi="Times New Roman" w:cs="Times New Roman"/>
      <w:b/>
      <w:sz w:val="32"/>
      <w:szCs w:val="20"/>
      <w:shd w:val="clear" w:color="auto" w:fill="CCCCCC"/>
      <w:lang w:eastAsia="ar-SA"/>
    </w:rPr>
  </w:style>
  <w:style w:type="character" w:customStyle="1" w:styleId="Heading8Char">
    <w:name w:val="Heading 8 Char"/>
    <w:basedOn w:val="DefaultParagraphFont"/>
    <w:link w:val="Heading8"/>
    <w:uiPriority w:val="9"/>
    <w:semiHidden/>
    <w:rsid w:val="00DE1CA0"/>
    <w:rPr>
      <w:rFonts w:ascii="Times New Roman" w:eastAsia="Times New Roman" w:hAnsi="Times New Roman" w:cs="Times New Roman"/>
      <w:b/>
      <w:sz w:val="28"/>
      <w:szCs w:val="20"/>
      <w:lang w:eastAsia="ar-SA"/>
    </w:rPr>
  </w:style>
  <w:style w:type="character" w:styleId="Emphasis">
    <w:name w:val="Emphasis"/>
    <w:basedOn w:val="DefaultParagraphFont"/>
    <w:uiPriority w:val="20"/>
    <w:qFormat/>
    <w:rsid w:val="00DE1CA0"/>
    <w:rPr>
      <w:i/>
      <w:iCs w:val="0"/>
    </w:rPr>
  </w:style>
  <w:style w:type="paragraph" w:styleId="BodyText">
    <w:name w:val="Body Text"/>
    <w:basedOn w:val="Normal"/>
    <w:link w:val="BodyTextChar"/>
    <w:uiPriority w:val="99"/>
    <w:semiHidden/>
    <w:unhideWhenUsed/>
    <w:rsid w:val="00DE1CA0"/>
    <w:pPr>
      <w:tabs>
        <w:tab w:val="left" w:pos="-90"/>
        <w:tab w:val="left" w:pos="2070"/>
        <w:tab w:val="left" w:pos="3870"/>
        <w:tab w:val="left" w:pos="5670"/>
        <w:tab w:val="left" w:pos="7830"/>
        <w:tab w:val="left" w:pos="8550"/>
        <w:tab w:val="left" w:pos="9270"/>
      </w:tabs>
    </w:pPr>
    <w:rPr>
      <w:sz w:val="28"/>
    </w:rPr>
  </w:style>
  <w:style w:type="character" w:customStyle="1" w:styleId="BodyTextChar">
    <w:name w:val="Body Text Char"/>
    <w:basedOn w:val="DefaultParagraphFont"/>
    <w:link w:val="BodyText"/>
    <w:uiPriority w:val="99"/>
    <w:semiHidden/>
    <w:rsid w:val="00DE1CA0"/>
    <w:rPr>
      <w:rFonts w:ascii="Times New Roman" w:eastAsia="Times New Roman" w:hAnsi="Times New Roman" w:cs="Times New Roman"/>
      <w:sz w:val="28"/>
      <w:szCs w:val="20"/>
      <w:lang w:eastAsia="ar-SA"/>
    </w:rPr>
  </w:style>
  <w:style w:type="paragraph" w:styleId="BodyText3">
    <w:name w:val="Body Text 3"/>
    <w:basedOn w:val="Normal"/>
    <w:link w:val="BodyText3Char"/>
    <w:uiPriority w:val="99"/>
    <w:semiHidden/>
    <w:unhideWhenUsed/>
    <w:rsid w:val="00DE1CA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i/>
      <w:sz w:val="24"/>
    </w:rPr>
  </w:style>
  <w:style w:type="character" w:customStyle="1" w:styleId="BodyText3Char">
    <w:name w:val="Body Text 3 Char"/>
    <w:basedOn w:val="DefaultParagraphFont"/>
    <w:link w:val="BodyText3"/>
    <w:uiPriority w:val="99"/>
    <w:semiHidden/>
    <w:rsid w:val="00DE1CA0"/>
    <w:rPr>
      <w:rFonts w:ascii="Times New Roman" w:eastAsia="Times New Roman" w:hAnsi="Times New Roman" w:cs="Times New Roman"/>
      <w:i/>
      <w:sz w:val="24"/>
      <w:szCs w:val="20"/>
      <w:lang w:eastAsia="ar-SA"/>
    </w:rPr>
  </w:style>
  <w:style w:type="character" w:styleId="Hyperlink">
    <w:name w:val="Hyperlink"/>
    <w:basedOn w:val="DefaultParagraphFont"/>
    <w:uiPriority w:val="99"/>
    <w:unhideWhenUsed/>
    <w:rsid w:val="00F63DBE"/>
    <w:rPr>
      <w:color w:val="0563C1" w:themeColor="hyperlink"/>
      <w:u w:val="single"/>
    </w:rPr>
  </w:style>
  <w:style w:type="character" w:customStyle="1" w:styleId="UnresolvedMention1">
    <w:name w:val="Unresolved Mention1"/>
    <w:basedOn w:val="DefaultParagraphFont"/>
    <w:uiPriority w:val="99"/>
    <w:semiHidden/>
    <w:unhideWhenUsed/>
    <w:rsid w:val="00F63DBE"/>
    <w:rPr>
      <w:color w:val="605E5C"/>
      <w:shd w:val="clear" w:color="auto" w:fill="E1DFDD"/>
    </w:rPr>
  </w:style>
  <w:style w:type="character" w:styleId="PlaceholderText">
    <w:name w:val="Placeholder Text"/>
    <w:basedOn w:val="DefaultParagraphFont"/>
    <w:uiPriority w:val="99"/>
    <w:semiHidden/>
    <w:rsid w:val="00616D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51301">
      <w:bodyDiv w:val="1"/>
      <w:marLeft w:val="0"/>
      <w:marRight w:val="0"/>
      <w:marTop w:val="0"/>
      <w:marBottom w:val="0"/>
      <w:divBdr>
        <w:top w:val="none" w:sz="0" w:space="0" w:color="auto"/>
        <w:left w:val="none" w:sz="0" w:space="0" w:color="auto"/>
        <w:bottom w:val="none" w:sz="0" w:space="0" w:color="auto"/>
        <w:right w:val="none" w:sz="0" w:space="0" w:color="auto"/>
      </w:divBdr>
    </w:div>
    <w:div w:id="33731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tyles" Target="styles.xml"/><Relationship Id="rId7" Type="http://schemas.openxmlformats.org/officeDocument/2006/relationships/hyperlink" Target="http://www.dep.state.fl.us/swa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owlinggreenfl.org/bulletin-boar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FA614-3411-4842-B536-B8FE9AB08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Guffey</dc:creator>
  <cp:keywords/>
  <dc:description/>
  <cp:lastModifiedBy>Smith, Edward</cp:lastModifiedBy>
  <cp:revision>1</cp:revision>
  <dcterms:created xsi:type="dcterms:W3CDTF">2022-06-27T13:58:00Z</dcterms:created>
  <dcterms:modified xsi:type="dcterms:W3CDTF">2022-06-29T16:37:00Z</dcterms:modified>
  <cp:category/>
</cp:coreProperties>
</file>